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FAE88" w14:textId="0AB82DD0" w:rsidR="002575F6" w:rsidRDefault="002575F6">
      <w:pPr>
        <w:pBdr>
          <w:bottom w:val="double" w:sz="6" w:space="1" w:color="auto"/>
        </w:pBdr>
      </w:pPr>
    </w:p>
    <w:p w14:paraId="3348CB9E" w14:textId="52AE5ADF" w:rsidR="00E9110E" w:rsidRDefault="00E9110E" w:rsidP="00E9110E">
      <w:pPr>
        <w:jc w:val="center"/>
      </w:pPr>
      <w:r>
        <w:t xml:space="preserve">CE, 2024, </w:t>
      </w:r>
      <w:r>
        <w:rPr>
          <w:i/>
          <w:iCs/>
        </w:rPr>
        <w:t>Sté Formapriv et autres</w:t>
      </w:r>
      <w:r>
        <w:t xml:space="preserve">, n° </w:t>
      </w:r>
      <w:r w:rsidR="004247C3">
        <w:t>489976</w:t>
      </w:r>
    </w:p>
    <w:p w14:paraId="253C5A69" w14:textId="425D8912" w:rsidR="004247C3" w:rsidRDefault="004247C3" w:rsidP="00E9110E">
      <w:pPr>
        <w:pBdr>
          <w:bottom w:val="double" w:sz="6" w:space="1" w:color="auto"/>
        </w:pBdr>
        <w:jc w:val="center"/>
        <w:rPr>
          <w:sz w:val="20"/>
          <w:szCs w:val="18"/>
        </w:rPr>
      </w:pPr>
      <w:r>
        <w:rPr>
          <w:sz w:val="20"/>
          <w:szCs w:val="18"/>
        </w:rPr>
        <w:t>Proposition de corrigé</w:t>
      </w:r>
    </w:p>
    <w:p w14:paraId="3DC53422" w14:textId="3BD22368" w:rsidR="004247C3" w:rsidRDefault="004247C3" w:rsidP="00E9110E">
      <w:pPr>
        <w:jc w:val="center"/>
        <w:rPr>
          <w:sz w:val="20"/>
          <w:szCs w:val="18"/>
        </w:rPr>
      </w:pPr>
      <w:r>
        <w:rPr>
          <w:sz w:val="20"/>
          <w:szCs w:val="18"/>
        </w:rPr>
        <w:t xml:space="preserve">C. </w:t>
      </w:r>
      <w:r>
        <w:rPr>
          <w:smallCaps/>
          <w:sz w:val="20"/>
          <w:szCs w:val="18"/>
        </w:rPr>
        <w:t>Cherici</w:t>
      </w:r>
      <w:r>
        <w:rPr>
          <w:sz w:val="20"/>
          <w:szCs w:val="18"/>
        </w:rPr>
        <w:t xml:space="preserve"> – 18.10.2024</w:t>
      </w:r>
    </w:p>
    <w:p w14:paraId="64CA7ED0" w14:textId="77777777" w:rsidR="004247C3" w:rsidRDefault="004247C3" w:rsidP="004247C3">
      <w:pPr>
        <w:jc w:val="both"/>
      </w:pPr>
    </w:p>
    <w:p w14:paraId="2964A2DD" w14:textId="1F31CA23" w:rsidR="004247C3" w:rsidRDefault="00E51D02" w:rsidP="004247C3">
      <w:pPr>
        <w:jc w:val="both"/>
      </w:pPr>
      <w:r>
        <w:t>« </w:t>
      </w:r>
      <w:r>
        <w:rPr>
          <w:i/>
          <w:iCs/>
        </w:rPr>
        <w:t>La transition du lycée à l’enseignement supérieur concerne aujourd’hui près de 610 000 néo</w:t>
      </w:r>
      <w:r>
        <w:rPr>
          <w:i/>
          <w:iCs/>
        </w:rPr>
        <w:noBreakHyphen/>
        <w:t>bacheliers</w:t>
      </w:r>
      <w:r w:rsidR="00665D6B">
        <w:rPr>
          <w:i/>
          <w:iCs/>
        </w:rPr>
        <w:t xml:space="preserve"> (…) Les choix à faire parmi une offre tr</w:t>
      </w:r>
      <w:r w:rsidR="002A1F03">
        <w:rPr>
          <w:i/>
          <w:iCs/>
        </w:rPr>
        <w:t>è</w:t>
      </w:r>
      <w:r w:rsidR="00665D6B">
        <w:rPr>
          <w:i/>
          <w:iCs/>
        </w:rPr>
        <w:t>s</w:t>
      </w:r>
      <w:r w:rsidR="002A1F03">
        <w:rPr>
          <w:i/>
          <w:iCs/>
        </w:rPr>
        <w:t xml:space="preserve"> </w:t>
      </w:r>
      <w:r w:rsidR="00396B3C">
        <w:rPr>
          <w:i/>
          <w:iCs/>
        </w:rPr>
        <w:t>large</w:t>
      </w:r>
      <w:r w:rsidR="00665D6B">
        <w:rPr>
          <w:i/>
          <w:iCs/>
        </w:rPr>
        <w:t>, les chances d’</w:t>
      </w:r>
      <w:r w:rsidR="002A1F03">
        <w:rPr>
          <w:i/>
          <w:iCs/>
        </w:rPr>
        <w:t>y</w:t>
      </w:r>
      <w:r w:rsidR="00665D6B">
        <w:rPr>
          <w:i/>
          <w:iCs/>
        </w:rPr>
        <w:t xml:space="preserve"> accéder et d’y réussir, constituent autant de préoccupations et parfois d’angoisses pour de nombreux candidats et leurs parents. Les réponses à ces inquiétu</w:t>
      </w:r>
      <w:r w:rsidR="002A1F03">
        <w:rPr>
          <w:i/>
          <w:iCs/>
        </w:rPr>
        <w:t>d</w:t>
      </w:r>
      <w:r w:rsidR="00665D6B">
        <w:rPr>
          <w:i/>
          <w:iCs/>
        </w:rPr>
        <w:t>es ont tr</w:t>
      </w:r>
      <w:r w:rsidR="002A1F03">
        <w:rPr>
          <w:i/>
          <w:iCs/>
        </w:rPr>
        <w:t>è</w:t>
      </w:r>
      <w:r w:rsidR="00665D6B">
        <w:rPr>
          <w:i/>
          <w:iCs/>
        </w:rPr>
        <w:t>s tôt constitué un service marchand</w:t>
      </w:r>
      <w:r w:rsidR="00665D6B">
        <w:t> »</w:t>
      </w:r>
      <w:r w:rsidR="001B41CA">
        <w:rPr>
          <w:rStyle w:val="Appelnotedebasdep"/>
        </w:rPr>
        <w:footnoteReference w:id="1"/>
      </w:r>
      <w:r w:rsidR="00665D6B">
        <w:t xml:space="preserve">. </w:t>
      </w:r>
    </w:p>
    <w:p w14:paraId="6AE763CA" w14:textId="4E15C76E" w:rsidR="00626675" w:rsidRDefault="00D75D4A" w:rsidP="004247C3">
      <w:pPr>
        <w:jc w:val="both"/>
      </w:pPr>
      <w:r>
        <w:t xml:space="preserve">La massification de l’enseignement supérieur a plus fortement touché certaines filières, comme les études de santé. </w:t>
      </w:r>
      <w:r w:rsidR="007A6092">
        <w:t xml:space="preserve">Si l’université ne peut, en principe, sélectionner les étudiants à l’entrée du premier cycle, les études médicales ont rapidement instauré une sélection par </w:t>
      </w:r>
      <w:r w:rsidR="00B81614">
        <w:t>l’institution</w:t>
      </w:r>
      <w:r w:rsidR="007A6092">
        <w:t xml:space="preserve"> d’un </w:t>
      </w:r>
      <w:r w:rsidR="007A6092">
        <w:rPr>
          <w:i/>
          <w:iCs/>
        </w:rPr>
        <w:t>numerus clausus</w:t>
      </w:r>
      <w:r w:rsidR="007A6092">
        <w:t xml:space="preserve"> à l’issue de la première année de licence </w:t>
      </w:r>
      <w:r w:rsidR="00C5058E">
        <w:t>(anciennement « PACES</w:t>
      </w:r>
      <w:r w:rsidR="00C5058E">
        <w:rPr>
          <w:rStyle w:val="Appelnotedebasdep"/>
        </w:rPr>
        <w:footnoteReference w:id="2"/>
      </w:r>
      <w:r w:rsidR="00C5058E">
        <w:t> »). Le taux d’échec</w:t>
      </w:r>
      <w:r w:rsidR="007B4F86">
        <w:t xml:space="preserve"> à cette sélection, de même que l’uniformisation des profils des étudiants en médecine, ont conduit le Gouvernement à réformer l’accès à cette filière par la création d</w:t>
      </w:r>
      <w:r w:rsidR="009F56C4">
        <w:t>es PASS et des LAS</w:t>
      </w:r>
      <w:r w:rsidR="009F56C4">
        <w:rPr>
          <w:rStyle w:val="Appelnotedebasdep"/>
        </w:rPr>
        <w:footnoteReference w:id="3"/>
      </w:r>
      <w:r w:rsidR="004B7060">
        <w:t>.</w:t>
      </w:r>
      <w:r w:rsidR="00626675">
        <w:t xml:space="preserve"> La transition vers ce nouveau mode de sélection a déjà suscité plusieurs contentieux</w:t>
      </w:r>
      <w:r w:rsidR="00626675">
        <w:rPr>
          <w:rStyle w:val="Appelnotedebasdep"/>
        </w:rPr>
        <w:footnoteReference w:id="4"/>
      </w:r>
      <w:r w:rsidR="00626675">
        <w:t xml:space="preserve"> auxquels vient s’ajouter la décision commentée. </w:t>
      </w:r>
    </w:p>
    <w:p w14:paraId="17655D0D" w14:textId="42C056D1" w:rsidR="00626675" w:rsidRDefault="00626675" w:rsidP="004247C3">
      <w:pPr>
        <w:jc w:val="both"/>
      </w:pPr>
      <w:r>
        <w:t xml:space="preserve">Dans </w:t>
      </w:r>
      <w:r w:rsidR="00396B3C">
        <w:t>cette affaire</w:t>
      </w:r>
      <w:r>
        <w:t xml:space="preserve">, les dispositions contestées ne sont pas relatives à l’accès au premier mais au troisième cycle des études médicales. En effet, les sociétés Formapriv, Forma Seine et Forma Grand Est ont demandé au Conseil d'Etat d’annuler l’arrêté du 28 septembre 2023 par lequel la ministre en charge de l’enseignement supérieur et le ministre en charge de la santé ont modifié l’arrêté du 21 septembre 2021 relatif à l’accès au troisième cycle. Les dispositions contestées, telles qu’elles ont été identifiées par le Conseil d'Etat, visaient notamment à ne pas valoriser dans le dossier des candidats leur expérience professionnelle d’enseignement dans les préparations privées destinées aux étudiants des PASS et des LAS. </w:t>
      </w:r>
    </w:p>
    <w:p w14:paraId="7584A59B" w14:textId="03B9714F" w:rsidR="001B41CA" w:rsidRDefault="00626675" w:rsidP="004247C3">
      <w:pPr>
        <w:jc w:val="both"/>
      </w:pPr>
      <w:r>
        <w:t xml:space="preserve">Elles soutenaient notamment que ces dispositions, d’une part, méconnaissaient le principe d’égalité entre les étudiants qui effectuaient du mentorat au sein de l’université – expérience valorisée au titre de l’engagement associatif – et ceux qui offraient ces services en dehors de l’université et qui se trouvaient dans l’impossibilité de valoriser cette expérience. D’autre part, elles soutenaient que l’arrêté contesté était entaché d’incompétence du fait qu’il n’avait pas été signé par le ministre de la défense. </w:t>
      </w:r>
    </w:p>
    <w:p w14:paraId="54720AF7" w14:textId="55B06E03" w:rsidR="00626675" w:rsidRDefault="00626675" w:rsidP="004247C3">
      <w:pPr>
        <w:jc w:val="both"/>
      </w:pPr>
      <w:r>
        <w:t>Compétent pour connaître de ce recours en premier et dernier ressort en vertu de l’article R.</w:t>
      </w:r>
      <w:r w:rsidR="00BB6A94">
        <w:t> </w:t>
      </w:r>
      <w:r>
        <w:t xml:space="preserve">311-1 du code de justice administrative, le Conseil d'Etat devait d’abord déterminer si les sociétés requérantes disposaient d’un intérêt à agir contre l’arrêté dont elles demandaient </w:t>
      </w:r>
      <w:r>
        <w:lastRenderedPageBreak/>
        <w:t>l’annulation. Le cas échéant, il devait se prononcer sur le bienfondé des moyens tirés de l’incompétence des auteurs de l’acte et de la méconnaissance du principe d’égalité soulevés par les requérantes, puis, s’interroger sur les conséquences à tir</w:t>
      </w:r>
      <w:r w:rsidR="00A1134F">
        <w:t>er</w:t>
      </w:r>
      <w:r>
        <w:t xml:space="preserve"> d’une éventuelle annulation contentieuse. </w:t>
      </w:r>
    </w:p>
    <w:p w14:paraId="13619B58" w14:textId="6F9BDEF1" w:rsidR="00626675" w:rsidRDefault="00626675" w:rsidP="004247C3">
      <w:pPr>
        <w:jc w:val="both"/>
      </w:pPr>
      <w:r>
        <w:t xml:space="preserve">Dans sa décision du 24 juillet 2024, le Conseil d'Etat admet que les sociétés disposent d’un intérêt à agir relativement indirect. Il estime, par ailleurs, que la différence de traitement instituée entre les étudiants s’investissant dans des actions de mentorat et ceux enseignant dans les prépas privées n’est pas contraire au principe d’égalité. Cependant, constatant que l’acte est entaché d’incompétence il choisit, ainsi qu’il en a le pouvoir, de différer dans le temps l’annulation des dispositions litigieuses afin de ne pas troubler le bon fonctionnement du service. </w:t>
      </w:r>
    </w:p>
    <w:p w14:paraId="17EACAAA" w14:textId="79489BC8" w:rsidR="00626675" w:rsidRDefault="00626675" w:rsidP="004247C3">
      <w:pPr>
        <w:jc w:val="both"/>
      </w:pPr>
      <w:r>
        <w:t xml:space="preserve">Il ressort de cette décision que ce n’est pas tant la volonté du Gouvernement de décourager les étudiants en médecine de participer aux officines privées de préparation à la deuxième année de médecine qui est censurée (I) mais un vice aisément corrigible (II). </w:t>
      </w:r>
    </w:p>
    <w:p w14:paraId="4EA8C23D" w14:textId="5613136F" w:rsidR="00626675" w:rsidRDefault="00626675" w:rsidP="00626675">
      <w:pPr>
        <w:pStyle w:val="Paragraphedeliste"/>
        <w:numPr>
          <w:ilvl w:val="0"/>
          <w:numId w:val="1"/>
        </w:numPr>
        <w:jc w:val="both"/>
      </w:pPr>
      <w:r>
        <w:t>Un objectif politique admissible : tempérer l’attractivité des préparations privées</w:t>
      </w:r>
    </w:p>
    <w:p w14:paraId="27FADBA4" w14:textId="680C273F" w:rsidR="00885D49" w:rsidRDefault="00885D49" w:rsidP="00885D49">
      <w:pPr>
        <w:jc w:val="both"/>
      </w:pPr>
      <w:r>
        <w:t xml:space="preserve">La mesure contestée par les requérantes est apparemment anodine en ce qu’elle modifie marginalement le barème de valorisation des dossiers étudiants, candidats au troisième cycle dans études médicales. Elle vise cependant à décourager les étudiants du deuxième cycle de participer aux préparations privées aux études médicales, ou du moins à rendre ces occupations moins attractives. La formation de jugement a accepté de voir, derrière l’apparente innocuité des quelques modifications introduites par l’arrêté du 28 septembre 2023, la volonté politique qu’il traduisait et a admis de ce fait un intérêt à agir relativement indirect des requérantes (A). Cependant, elle a vu dans cette volonté politique un objectif qui pouvait légitimer une différence de traitement entre les étudiants s’investissant dans le mentorat au sein de l’université et ceux s’engageant auprès des préparations privées (B). </w:t>
      </w:r>
    </w:p>
    <w:p w14:paraId="57598765" w14:textId="2513EBC9" w:rsidR="00626675" w:rsidRDefault="00626675" w:rsidP="00626675">
      <w:pPr>
        <w:pStyle w:val="Paragraphedeliste"/>
        <w:numPr>
          <w:ilvl w:val="0"/>
          <w:numId w:val="2"/>
        </w:numPr>
        <w:jc w:val="both"/>
      </w:pPr>
      <w:r>
        <w:t>Une atteinte indirecte au fonctionnement des préparations privées</w:t>
      </w:r>
    </w:p>
    <w:p w14:paraId="3B01AA76" w14:textId="77777777" w:rsidR="004F1146" w:rsidRDefault="00885D49" w:rsidP="00885D49">
      <w:pPr>
        <w:jc w:val="both"/>
      </w:pPr>
      <w:r>
        <w:t>« L’intérêt à agir », abréviation commode des expressions « intérêt donnant qualité pour agir » ou « qualité donnant intérêt pour agir » entre lesquelles hésite la jurisprudence du Conseil d'Etat</w:t>
      </w:r>
      <w:r w:rsidR="009D5710">
        <w:rPr>
          <w:rStyle w:val="Appelnotedebasdep"/>
        </w:rPr>
        <w:footnoteReference w:id="5"/>
      </w:r>
      <w:r w:rsidR="00E176DB">
        <w:t xml:space="preserve">, est une condition de recevabilité des recours devant le juge administratif. Il désigne la relation entre le requérant et l’acte contesté. </w:t>
      </w:r>
      <w:r w:rsidR="00F46209">
        <w:t>En effet, le droit français refuse l’</w:t>
      </w:r>
      <w:r w:rsidR="00F46209">
        <w:rPr>
          <w:i/>
          <w:iCs/>
        </w:rPr>
        <w:t>actio popularis</w:t>
      </w:r>
      <w:r w:rsidR="00F46209">
        <w:t xml:space="preserve"> romaine selon laquelle n’importe quel justiciable serait recevable à contester des actes publics. </w:t>
      </w:r>
    </w:p>
    <w:p w14:paraId="084AA770" w14:textId="23A4BF7F" w:rsidR="00885D49" w:rsidRDefault="004F1146" w:rsidP="00885D49">
      <w:pPr>
        <w:jc w:val="both"/>
      </w:pPr>
      <w:r>
        <w:t>Les personnes morales telles les sociétés et les personnes physiques doivent disposer d’un intérêt à agir pour contester les actes administratifs</w:t>
      </w:r>
      <w:r w:rsidR="004B3D3C">
        <w:t>. Il faut ainsi démontrer qu’</w:t>
      </w:r>
      <w:r w:rsidR="00F54692">
        <w:t>elles</w:t>
      </w:r>
      <w:r w:rsidR="004B3D3C">
        <w:t xml:space="preserve"> sont lésé</w:t>
      </w:r>
      <w:r w:rsidR="00F54692">
        <w:t>e</w:t>
      </w:r>
      <w:r w:rsidR="004B3D3C">
        <w:t>s de manière suffisamment certaine, directe et légitime, par l’acte qu’</w:t>
      </w:r>
      <w:r w:rsidR="00F54692">
        <w:t>elles</w:t>
      </w:r>
      <w:r w:rsidR="004B3D3C">
        <w:t xml:space="preserve"> défèrent à la censure du juge</w:t>
      </w:r>
      <w:r w:rsidR="009B54D3">
        <w:t xml:space="preserve">. </w:t>
      </w:r>
      <w:r w:rsidR="00BE44AB">
        <w:t>Le Conseil d'Etat a ainsi</w:t>
      </w:r>
      <w:r w:rsidR="000A625E">
        <w:t xml:space="preserve"> jugé qu’une société ne disposait pas d’un intérêt à agir suffisant pour contester la décision par laquelle le CSA</w:t>
      </w:r>
      <w:r w:rsidR="00345C7E">
        <w:t xml:space="preserve"> ne donnait pas suite à une procédure de sanction engagée contre une autre société</w:t>
      </w:r>
      <w:r w:rsidR="00345C7E">
        <w:rPr>
          <w:rStyle w:val="Appelnotedebasdep"/>
        </w:rPr>
        <w:footnoteReference w:id="6"/>
      </w:r>
      <w:r w:rsidR="000B2392">
        <w:t>. Elles n</w:t>
      </w:r>
      <w:r w:rsidR="009E40F5">
        <w:t xml:space="preserve">e peuvent pas plus contester une mesure </w:t>
      </w:r>
      <w:r w:rsidR="009E40F5">
        <w:lastRenderedPageBreak/>
        <w:t>ministérielle affectant un agent qui avait auparavant occupé des fonctions de direction en leur sein</w:t>
      </w:r>
      <w:r w:rsidR="005810E0">
        <w:rPr>
          <w:rStyle w:val="Appelnotedebasdep"/>
        </w:rPr>
        <w:footnoteReference w:id="7"/>
      </w:r>
      <w:r w:rsidR="009E40F5">
        <w:t xml:space="preserve"> </w:t>
      </w:r>
      <w:r w:rsidR="008B6211">
        <w:t>ou contester l’agrément d</w:t>
      </w:r>
      <w:r w:rsidR="00CC36B9">
        <w:t>e l’agent des finances publiques chargé de les contrôler</w:t>
      </w:r>
      <w:r w:rsidR="00CC36B9">
        <w:rPr>
          <w:rStyle w:val="Appelnotedebasdep"/>
        </w:rPr>
        <w:footnoteReference w:id="8"/>
      </w:r>
      <w:r w:rsidR="00C11A68">
        <w:t xml:space="preserve">. </w:t>
      </w:r>
    </w:p>
    <w:p w14:paraId="5DE3ABBF" w14:textId="4E023BED" w:rsidR="00C11A68" w:rsidRDefault="00071C90" w:rsidP="00885D49">
      <w:pPr>
        <w:jc w:val="both"/>
      </w:pPr>
      <w:r>
        <w:t xml:space="preserve">Il est toutefois arrivé que la jurisprudence admette ponctuellement </w:t>
      </w:r>
      <w:r w:rsidR="00C37860">
        <w:t>un intérêt à agir indirect comme celui d’un hôtelier à l’encontre de l’arrêté fixant les périodes de vacances scolaires</w:t>
      </w:r>
      <w:r w:rsidR="00C37860">
        <w:rPr>
          <w:rStyle w:val="Appelnotedebasdep"/>
        </w:rPr>
        <w:footnoteReference w:id="9"/>
      </w:r>
      <w:r w:rsidR="00C37860">
        <w:t xml:space="preserve">. </w:t>
      </w:r>
      <w:r w:rsidR="00005365">
        <w:t xml:space="preserve">Dans ces hypothèses, la lésion aux intérêts du requérant se fait par une forme de ricochet et une mesure neutre en apparence peut avoir des effets </w:t>
      </w:r>
      <w:r w:rsidR="00AB1CD2">
        <w:t xml:space="preserve">négatifs sur les intérêts qu’il entend défendre. </w:t>
      </w:r>
    </w:p>
    <w:p w14:paraId="1395283A" w14:textId="7BA7A8C9" w:rsidR="00AB1CD2" w:rsidRDefault="00AB1CD2" w:rsidP="00885D49">
      <w:pPr>
        <w:jc w:val="both"/>
      </w:pPr>
      <w:r>
        <w:t>C’est précisément cette forme indirecte d’intérêt à agir qui a été reconnu</w:t>
      </w:r>
      <w:r w:rsidR="008E5364">
        <w:t>e</w:t>
      </w:r>
      <w:r>
        <w:t xml:space="preserve"> en l’espèce. En effet, la </w:t>
      </w:r>
      <w:r w:rsidR="00403F03">
        <w:t xml:space="preserve">mesure contestée consistait, ainsi qu’il a déjà été dit, à ne plus valoriser dans les dossiers étudiants leur expérience professionnelle lorsqu’elle consiste à enseigner au sein des préparations privées aux études de médecines. Les individus directement </w:t>
      </w:r>
      <w:r w:rsidR="00760E27">
        <w:t xml:space="preserve">lésés par cette mesure sont donc les étudiants se trouvant dans cette situation et non pas les préparations privées. </w:t>
      </w:r>
      <w:r w:rsidR="00AB385A">
        <w:t>Cependant, le Conseil d'Etat a, dans cette affaire, jugé que : « </w:t>
      </w:r>
      <w:r w:rsidR="004510E7">
        <w:rPr>
          <w:i/>
          <w:iCs/>
        </w:rPr>
        <w:t xml:space="preserve">eu égard aux moyens qu’elles soulèvent, elles doivent être regardées comme demandant l’annulation de cet arrêté en tant seulement qu’il a ajouté </w:t>
      </w:r>
      <w:r w:rsidR="00FD34E2">
        <w:rPr>
          <w:i/>
          <w:iCs/>
        </w:rPr>
        <w:t>les mots « hors du champ de la formation en santé » dans la rubrique « expérience professionnelle » figurant dans le tableau relatif à la valorisation du parcours de formation des étudiants en médecine</w:t>
      </w:r>
      <w:r w:rsidR="004E2EA6">
        <w:t xml:space="preserve"> » et a ajouté qu’elles « </w:t>
      </w:r>
      <w:r w:rsidR="004E2EA6">
        <w:rPr>
          <w:i/>
          <w:iCs/>
        </w:rPr>
        <w:t>[justifiaient] d’un intérêt suffisamment direct et certain à l’annulation des mots ainsi ajoutés</w:t>
      </w:r>
      <w:r w:rsidR="004E2EA6">
        <w:t xml:space="preserve"> » (§3). </w:t>
      </w:r>
    </w:p>
    <w:p w14:paraId="3A703737" w14:textId="0B07D2CB" w:rsidR="000D0295" w:rsidRDefault="00857C14" w:rsidP="000D0295">
      <w:pPr>
        <w:jc w:val="both"/>
      </w:pPr>
      <w:r>
        <w:t>L’on est en droit de s’interroger franchement sur le caractère « direct » de leur intérêt à agir. En effet, dans ses conclusions, le rapporteur public indiquait que : « </w:t>
      </w:r>
      <w:r w:rsidR="000D0295" w:rsidRPr="000D0295">
        <w:rPr>
          <w:i/>
          <w:iCs/>
        </w:rPr>
        <w:t>L’incidence de la mesure sur ces sociétés n’est indirecte que parce que la mesure est</w:t>
      </w:r>
      <w:r w:rsidR="00BF2C89">
        <w:rPr>
          <w:i/>
          <w:iCs/>
        </w:rPr>
        <w:t xml:space="preserve"> </w:t>
      </w:r>
      <w:r w:rsidR="000D0295" w:rsidRPr="000D0295">
        <w:rPr>
          <w:i/>
          <w:iCs/>
        </w:rPr>
        <w:t>construite pour les affecter indirectement. Dans ces conditions, il nous semblerait excessivement sévère de leur dénier un intérêt à contester cette mesure. La requête nous paraît donc recevable</w:t>
      </w:r>
      <w:r w:rsidR="000D0295">
        <w:t> »</w:t>
      </w:r>
      <w:r w:rsidR="007B17A9">
        <w:rPr>
          <w:rStyle w:val="Appelnotedebasdep"/>
        </w:rPr>
        <w:footnoteReference w:id="10"/>
      </w:r>
      <w:r w:rsidR="000D0295" w:rsidRPr="000D0295">
        <w:t>.</w:t>
      </w:r>
      <w:r w:rsidR="00DF12E0">
        <w:t xml:space="preserve"> </w:t>
      </w:r>
    </w:p>
    <w:p w14:paraId="6CB06B03" w14:textId="0455E8BD" w:rsidR="00492240" w:rsidRPr="00640CA6" w:rsidRDefault="00DF12E0" w:rsidP="00885D49">
      <w:pPr>
        <w:jc w:val="both"/>
      </w:pPr>
      <w:r>
        <w:t xml:space="preserve">Alors même que les conclusions </w:t>
      </w:r>
      <w:r w:rsidR="00B74F82">
        <w:t>proposaient explicitement de reconnaître un intérêt indirect des sociétés requérantes, l</w:t>
      </w:r>
      <w:r w:rsidR="00D64AC8">
        <w:t>a</w:t>
      </w:r>
      <w:r w:rsidR="00B74F82">
        <w:t xml:space="preserve"> motivation de la décision a préféré conserv</w:t>
      </w:r>
      <w:r w:rsidR="0024598D">
        <w:t>er</w:t>
      </w:r>
      <w:r w:rsidR="00B74F82">
        <w:t xml:space="preserve"> les caractères </w:t>
      </w:r>
      <w:r w:rsidR="00FD573A">
        <w:t xml:space="preserve">« direct et certain » </w:t>
      </w:r>
      <w:r w:rsidR="00D64AC8">
        <w:t xml:space="preserve">habituels </w:t>
      </w:r>
      <w:r w:rsidR="00FD573A">
        <w:t>de l’intérêt à agir, poursuivant ainsi la tradition jurisprudentielle d’une reconnaissance souple de l’intérêt donnant qualité pour agir dans le contentieux de l’excès de pouvoir</w:t>
      </w:r>
      <w:r w:rsidR="00D64AC8">
        <w:t xml:space="preserve">, au risque d’une </w:t>
      </w:r>
      <w:r w:rsidR="0088024E">
        <w:t>incohérence</w:t>
      </w:r>
      <w:r w:rsidR="00D64AC8">
        <w:t xml:space="preserve"> sémantique</w:t>
      </w:r>
      <w:r w:rsidR="00FD573A">
        <w:t xml:space="preserve">. </w:t>
      </w:r>
      <w:r w:rsidR="00C821FF">
        <w:t xml:space="preserve">On peut voir dans cet assouplissement ponctuel </w:t>
      </w:r>
      <w:r w:rsidR="00640CA6">
        <w:t xml:space="preserve">une politique jurisprudentielle d’opportunité permettant au Conseil d'Etat de mieux se prononcer sur la mesure contestée pour en affirmer la légalité. </w:t>
      </w:r>
      <w:r w:rsidR="00FD573A">
        <w:t xml:space="preserve"> </w:t>
      </w:r>
    </w:p>
    <w:p w14:paraId="7C3038F8" w14:textId="0EACB731" w:rsidR="00626675" w:rsidRDefault="00626675" w:rsidP="00626675">
      <w:pPr>
        <w:pStyle w:val="Paragraphedeliste"/>
        <w:numPr>
          <w:ilvl w:val="0"/>
          <w:numId w:val="2"/>
        </w:numPr>
        <w:jc w:val="both"/>
      </w:pPr>
      <w:r>
        <w:t xml:space="preserve">Une </w:t>
      </w:r>
      <w:r w:rsidR="006456F6">
        <w:t>différence de traitement</w:t>
      </w:r>
      <w:r>
        <w:t xml:space="preserve"> conforme au principe d’égalité</w:t>
      </w:r>
    </w:p>
    <w:p w14:paraId="675E838F" w14:textId="05599B7F" w:rsidR="00640CA6" w:rsidRDefault="0025110B" w:rsidP="00640CA6">
      <w:pPr>
        <w:jc w:val="both"/>
      </w:pPr>
      <w:r>
        <w:t xml:space="preserve">Les sociétés requérantes soutenaient en premier lieu </w:t>
      </w:r>
      <w:r w:rsidR="00942394">
        <w:t>que les dispositions de l’arrêté litigieux méconnaissaient le principe d’égalité entre les étudiants. En effet – et pour rappel – ces dispositions conduisent à ce que les étudiants effectuant du mentorat (bénévole ou gratifié) au sein de l’université, puissent valoriser cet engagement dans leur dossier à la rubrique « engagement associatif » alors que ceux offrant les mêmes services dans les préparations privées ne peuvent désormais plus le faire au titre de la rubrique « expérience professionnelle ».</w:t>
      </w:r>
    </w:p>
    <w:p w14:paraId="1574FF00" w14:textId="679A2994" w:rsidR="006E574B" w:rsidRDefault="006E574B" w:rsidP="00640CA6">
      <w:pPr>
        <w:jc w:val="both"/>
      </w:pPr>
      <w:r>
        <w:t xml:space="preserve">Le principe d’égalité </w:t>
      </w:r>
      <w:r w:rsidR="00396B3C">
        <w:t xml:space="preserve">devant la loi </w:t>
      </w:r>
      <w:r>
        <w:t xml:space="preserve">a une valeur constitutionnelle qui repose sur l’article 6 de la Déclaration des droits de l’Homme et du Citoyen de 1789. Il s’agit par ailleurs d’un principe </w:t>
      </w:r>
      <w:r>
        <w:lastRenderedPageBreak/>
        <w:t>général du droit qui s’impose au pouvoir réglementaire</w:t>
      </w:r>
      <w:r w:rsidR="00DC0BBB">
        <w:rPr>
          <w:rStyle w:val="Appelnotedebasdep"/>
        </w:rPr>
        <w:footnoteReference w:id="11"/>
      </w:r>
      <w:r>
        <w:t xml:space="preserve">. Ce principe a été décliné </w:t>
      </w:r>
      <w:r w:rsidR="00886F0B">
        <w:t>dans plusieurs dimension et il a notamment fait florès dans</w:t>
      </w:r>
      <w:r w:rsidR="004030EB">
        <w:t xml:space="preserve"> le service public. </w:t>
      </w:r>
      <w:r w:rsidR="00577330">
        <w:t xml:space="preserve">Par une décision de section </w:t>
      </w:r>
      <w:r w:rsidR="00577330">
        <w:rPr>
          <w:i/>
          <w:iCs/>
        </w:rPr>
        <w:t>Sté</w:t>
      </w:r>
      <w:r w:rsidR="00637C02">
        <w:rPr>
          <w:i/>
          <w:iCs/>
        </w:rPr>
        <w:t> </w:t>
      </w:r>
      <w:r w:rsidR="00577330">
        <w:rPr>
          <w:i/>
          <w:iCs/>
        </w:rPr>
        <w:t>des concerts du conservatoire</w:t>
      </w:r>
      <w:r w:rsidR="00577330">
        <w:t>, le Conseil d'Etat a en effet affirmé que le service public était régi par le principe d’égalité</w:t>
      </w:r>
      <w:r w:rsidR="00577330">
        <w:rPr>
          <w:rStyle w:val="Appelnotedebasdep"/>
        </w:rPr>
        <w:footnoteReference w:id="12"/>
      </w:r>
      <w:r w:rsidR="00577330">
        <w:t xml:space="preserve">. </w:t>
      </w:r>
      <w:r w:rsidR="00F726FD">
        <w:t>L’enseignement supérieur étant un service public par détermination de la loi, le pouvoir réglementaire ne doit pas porter atteinte au principe d’égalité entre les étudiants. C’est notamment le cas concernant les conditions d’études conduisant à un grade universitaire</w:t>
      </w:r>
      <w:r w:rsidR="00F726FD">
        <w:rPr>
          <w:rStyle w:val="Appelnotedebasdep"/>
        </w:rPr>
        <w:footnoteReference w:id="13"/>
      </w:r>
      <w:r w:rsidR="000876E1">
        <w:t xml:space="preserve">. </w:t>
      </w:r>
    </w:p>
    <w:p w14:paraId="1B2AA935" w14:textId="51F1DD5D" w:rsidR="00C0285D" w:rsidRDefault="00C0285D" w:rsidP="00640CA6">
      <w:pPr>
        <w:jc w:val="both"/>
      </w:pPr>
      <w:r>
        <w:t>Toute différence de traitement ne constitue cependant pas une méconnaissance du principe d’égalité. En effet, comme le rappelle la décision commentée : « </w:t>
      </w:r>
      <w:r w:rsidR="00093488">
        <w:rPr>
          <w:i/>
          <w:iCs/>
        </w:rPr>
        <w:t xml:space="preserve">Le principe d’égalité </w:t>
      </w:r>
      <w:commentRangeStart w:id="0"/>
      <w:r w:rsidR="00093488">
        <w:rPr>
          <w:i/>
          <w:iCs/>
        </w:rPr>
        <w:t>ne</w:t>
      </w:r>
      <w:commentRangeEnd w:id="0"/>
      <w:r w:rsidR="00D21DC9">
        <w:rPr>
          <w:rStyle w:val="Marquedecommentaire"/>
          <w:i/>
          <w:iCs/>
          <w:sz w:val="24"/>
          <w:szCs w:val="22"/>
        </w:rPr>
        <w:commentReference w:id="0"/>
      </w:r>
      <w:r w:rsidR="00093488">
        <w:rPr>
          <w:i/>
          <w:iCs/>
        </w:rPr>
        <w:t xml:space="preserve"> s’oppose pas  ce que l’autorité investie du pouvoir réglementaire règle de façon différente des situations différentes, ni à ce qu’elle déroge à l’égalité pour des raisons d’intérêt général pourvu que, dans l’un comme l’autre cas, la différence de traitement qui en résulte soit en rapport direct avec l’objet de la norme qui l’établit et ne soit pas manifestement disproportionnée au regard des motifs susceptibles de la justifier</w:t>
      </w:r>
      <w:r w:rsidR="00093488">
        <w:t> » (§5).</w:t>
      </w:r>
      <w:r w:rsidR="0044560F">
        <w:t xml:space="preserve"> C’est là la reprise du considérant de principe désormais bien connu de la décision </w:t>
      </w:r>
      <w:r w:rsidR="00396B3C">
        <w:rPr>
          <w:i/>
          <w:iCs/>
        </w:rPr>
        <w:t>GISTI FAPIL</w:t>
      </w:r>
      <w:r w:rsidR="0044560F">
        <w:rPr>
          <w:rStyle w:val="Appelnotedebasdep"/>
          <w:i/>
          <w:iCs/>
        </w:rPr>
        <w:footnoteReference w:id="14"/>
      </w:r>
      <w:r w:rsidR="0044560F">
        <w:t xml:space="preserve">. </w:t>
      </w:r>
    </w:p>
    <w:p w14:paraId="50FFED94" w14:textId="37324810" w:rsidR="004F61C2" w:rsidRDefault="004F61C2" w:rsidP="00640CA6">
      <w:pPr>
        <w:jc w:val="both"/>
      </w:pPr>
      <w:r>
        <w:t xml:space="preserve">Il existe donc deux possibilités alternatives pour que le pouvoir réglementaire procède à une différence de traitement entre les usagers du service public : la différence de situation et l’intérêt général ; et deux conditions cumulatives pour que cette différence de traitement soit </w:t>
      </w:r>
      <w:r w:rsidR="00B72275">
        <w:t xml:space="preserve">conforme au principe d’égalité : le lien direct avec l’objet de la norme et l’exigence de proportionnalité. </w:t>
      </w:r>
    </w:p>
    <w:p w14:paraId="486995EA" w14:textId="723CAF8F" w:rsidR="00892E5E" w:rsidRDefault="00AA14EF" w:rsidP="00640CA6">
      <w:pPr>
        <w:jc w:val="both"/>
      </w:pPr>
      <w:r>
        <w:t>En l’espèce, le Conseil d'Etat juge que les étudiants exerçant au sein d’une préparation privée et ceux s’engageant dans le mentorat universitaire « </w:t>
      </w:r>
      <w:r>
        <w:rPr>
          <w:i/>
          <w:iCs/>
        </w:rPr>
        <w:t>ne sont pas dans la même situation</w:t>
      </w:r>
      <w:r>
        <w:t> » (§</w:t>
      </w:r>
      <w:r w:rsidR="000721A4">
        <w:t>7). Il avait déjà admis, par exemple, que les étudiants de l’enseignement supérieur privé et public n’étaient pas dans la même situation</w:t>
      </w:r>
      <w:r w:rsidR="00C82869">
        <w:rPr>
          <w:rStyle w:val="Appelnotedebasdep"/>
        </w:rPr>
        <w:footnoteReference w:id="15"/>
      </w:r>
      <w:r w:rsidR="00D82E83">
        <w:t>, de même que les étudiants de l’université et ceux de l’Institut d’études politiques de Paris</w:t>
      </w:r>
      <w:r w:rsidR="00D82E83">
        <w:rPr>
          <w:rStyle w:val="Appelnotedebasdep"/>
        </w:rPr>
        <w:footnoteReference w:id="16"/>
      </w:r>
      <w:r w:rsidR="00D82E83">
        <w:t xml:space="preserve">. </w:t>
      </w:r>
    </w:p>
    <w:p w14:paraId="40BD62AF" w14:textId="2B9519BF" w:rsidR="00892E5E" w:rsidRDefault="00892E5E" w:rsidP="00640CA6">
      <w:pPr>
        <w:jc w:val="both"/>
      </w:pPr>
      <w:r>
        <w:t>Il juge, par ailleurs, que la différence de traitement repose sur un motif d’intérêt général : « </w:t>
      </w:r>
      <w:r>
        <w:rPr>
          <w:i/>
          <w:iCs/>
        </w:rPr>
        <w:t>qui s’attache à la diversification</w:t>
      </w:r>
      <w:r w:rsidR="009B1D11">
        <w:rPr>
          <w:i/>
          <w:iCs/>
        </w:rPr>
        <w:t xml:space="preserve"> des profils des étudiants en médecine et de leur expérience durant leur parcours de formation</w:t>
      </w:r>
      <w:r w:rsidR="009B1D11">
        <w:t> » (§7)</w:t>
      </w:r>
      <w:r w:rsidR="00483897">
        <w:t xml:space="preserve"> - m</w:t>
      </w:r>
      <w:r w:rsidR="002B3C37">
        <w:t>otif qu’il avait, déjà reconnu lors de la réforme de l’accès aux écoles nationales du service public</w:t>
      </w:r>
      <w:r w:rsidR="002B3C37">
        <w:rPr>
          <w:rStyle w:val="Appelnotedebasdep"/>
        </w:rPr>
        <w:footnoteReference w:id="17"/>
      </w:r>
      <w:r w:rsidR="000A4CF5">
        <w:t>. La différence de traitement reposait donc sur un double fondement. Par ailleurs, le Conseil d'Etat juge qu’elle est en rapport direct avec l’objet de la norme qui l’établit et qu’elle est proportionnée à l’objectif poursuivi</w:t>
      </w:r>
      <w:r w:rsidR="00462294">
        <w:t>. La décision ne motive pas cette dernière affirmation que les conclusions du rapporteur public permettent toutefois d’éclairer</w:t>
      </w:r>
      <w:r w:rsidR="007D56C5">
        <w:t xml:space="preserve"> puisqu’il indiquait que </w:t>
      </w:r>
      <w:r w:rsidR="007D56C5" w:rsidRPr="00A61549">
        <w:t>«</w:t>
      </w:r>
      <w:r w:rsidR="007D56C5" w:rsidRPr="00A61549">
        <w:rPr>
          <w:i/>
          <w:iCs/>
        </w:rPr>
        <w:t> </w:t>
      </w:r>
      <w:r w:rsidR="00A61549" w:rsidRPr="00A61549">
        <w:rPr>
          <w:i/>
          <w:iCs/>
        </w:rPr>
        <w:t>L’amplitude maximale de points qu’elle est susceptible d’entraîner (30 points) représente 5 % de la note ; elle n’a pas d’influence sur l’accès l’internat mais seulement sur la procédure d’appariement, c’est-à-dire essentiellement le choix de la spécialité</w:t>
      </w:r>
      <w:r w:rsidR="00A61549">
        <w:t> »</w:t>
      </w:r>
      <w:r w:rsidR="00E94DE8">
        <w:rPr>
          <w:rStyle w:val="Appelnotedebasdep"/>
        </w:rPr>
        <w:footnoteReference w:id="18"/>
      </w:r>
      <w:r w:rsidR="00A61549">
        <w:t xml:space="preserve">. </w:t>
      </w:r>
    </w:p>
    <w:p w14:paraId="520AF66D" w14:textId="30094DDA" w:rsidR="0087649D" w:rsidRPr="00A61549" w:rsidRDefault="00483897" w:rsidP="00640CA6">
      <w:pPr>
        <w:jc w:val="both"/>
      </w:pPr>
      <w:r>
        <w:lastRenderedPageBreak/>
        <w:t>Cependant, la procédure d’édiction de l’arrêté litigieux était entaché</w:t>
      </w:r>
      <w:r w:rsidR="006A0715">
        <w:t>e</w:t>
      </w:r>
      <w:r>
        <w:t xml:space="preserve"> d’un vice que le</w:t>
      </w:r>
      <w:r w:rsidR="006A0715">
        <w:t xml:space="preserve"> Conseil d'Etat a dû censurer. </w:t>
      </w:r>
    </w:p>
    <w:p w14:paraId="2DC761B2" w14:textId="24B25AE8" w:rsidR="00626675" w:rsidRDefault="001E786E" w:rsidP="00626675">
      <w:pPr>
        <w:pStyle w:val="Paragraphedeliste"/>
        <w:numPr>
          <w:ilvl w:val="0"/>
          <w:numId w:val="1"/>
        </w:numPr>
        <w:jc w:val="both"/>
      </w:pPr>
      <w:r>
        <w:t>Un circuit</w:t>
      </w:r>
      <w:r w:rsidR="00626675">
        <w:t xml:space="preserve"> administrati</w:t>
      </w:r>
      <w:r>
        <w:t>f</w:t>
      </w:r>
      <w:r w:rsidR="00626675">
        <w:t xml:space="preserve"> défectue</w:t>
      </w:r>
      <w:r>
        <w:t>ux</w:t>
      </w:r>
      <w:r w:rsidR="00626675">
        <w:t> : l’omission d’une signature</w:t>
      </w:r>
    </w:p>
    <w:p w14:paraId="42B8A53F" w14:textId="1A6989F5" w:rsidR="006A0715" w:rsidRDefault="0086289A" w:rsidP="006A0715">
      <w:pPr>
        <w:jc w:val="both"/>
      </w:pPr>
      <w:r>
        <w:t xml:space="preserve">C’est sur le terrain de l’incompétence que l’arrêté contesté a été annulé par le Conseil d'Etat. </w:t>
      </w:r>
      <w:r w:rsidR="009B3757">
        <w:t>Alors qu’il aurait dû être signé par les ministres chargés de l’enseignement supérieur, de la santé et de la défense, la signature de ce dernier faisait défaut (A).</w:t>
      </w:r>
      <w:r w:rsidR="00BE3E62">
        <w:t xml:space="preserve"> Le Conseil d'Etat choisit toutefois de différer dans le temps l’effet de son annulation contentieuse afin de ne pas porter atteinte à l’intérêt général et au principe de sécurité juridique (B).  </w:t>
      </w:r>
    </w:p>
    <w:p w14:paraId="533AC55F" w14:textId="25396D5C" w:rsidR="00626675" w:rsidRDefault="00626675" w:rsidP="00626675">
      <w:pPr>
        <w:pStyle w:val="Paragraphedeliste"/>
        <w:numPr>
          <w:ilvl w:val="0"/>
          <w:numId w:val="3"/>
        </w:numPr>
        <w:jc w:val="both"/>
      </w:pPr>
      <w:r>
        <w:t>Une annulation pour défaut de signature du ministre de la défense</w:t>
      </w:r>
    </w:p>
    <w:p w14:paraId="33768953" w14:textId="3F03620D" w:rsidR="00BE3E62" w:rsidRDefault="004A6350" w:rsidP="00BE3E62">
      <w:pPr>
        <w:jc w:val="both"/>
      </w:pPr>
      <w:r>
        <w:t>Au sein du Gouvernement, seul le Premier Ministre dispose du pouvoir réglementaire général</w:t>
      </w:r>
      <w:r>
        <w:rPr>
          <w:rStyle w:val="Appelnotedebasdep"/>
        </w:rPr>
        <w:footnoteReference w:id="19"/>
      </w:r>
      <w:r>
        <w:t xml:space="preserve">. Les ministres, eux, ne disposent que d’un </w:t>
      </w:r>
      <w:r w:rsidR="00590EC9">
        <w:t>pouvoir réglementaire délégué lorsque les textes le prévoient</w:t>
      </w:r>
      <w:r w:rsidR="00590EC9">
        <w:rPr>
          <w:rStyle w:val="Appelnotedebasdep"/>
        </w:rPr>
        <w:footnoteReference w:id="20"/>
      </w:r>
      <w:r w:rsidR="00590EC9">
        <w:t xml:space="preserve">. </w:t>
      </w:r>
    </w:p>
    <w:p w14:paraId="081CF1A5" w14:textId="3309B982" w:rsidR="00E17704" w:rsidRDefault="00E17704" w:rsidP="00BE3E62">
      <w:pPr>
        <w:jc w:val="both"/>
      </w:pPr>
      <w:r>
        <w:t xml:space="preserve">Lorsqu’il est prévu qu’un acte réglementaire doit être adopté par plusieurs ministres, l’apposition de la signature de chacun d’entre eux </w:t>
      </w:r>
      <w:r w:rsidR="00695609">
        <w:t>sur l’acte en cause est obligatoire. Dans le cas contraire, l’acte est entaché d’un vice d’incompétence</w:t>
      </w:r>
      <w:r w:rsidR="00E626DA">
        <w:rPr>
          <w:rStyle w:val="Appelnotedebasdep"/>
        </w:rPr>
        <w:footnoteReference w:id="21"/>
      </w:r>
      <w:r w:rsidR="00421CA1">
        <w:t xml:space="preserve">. </w:t>
      </w:r>
      <w:r w:rsidR="00695609">
        <w:t xml:space="preserve"> </w:t>
      </w:r>
    </w:p>
    <w:p w14:paraId="14D479D4" w14:textId="3B8FD7C9" w:rsidR="00600230" w:rsidRDefault="00600230" w:rsidP="00BE3E62">
      <w:pPr>
        <w:jc w:val="both"/>
      </w:pPr>
      <w:r>
        <w:t>En l’espèce,</w:t>
      </w:r>
      <w:r w:rsidR="008B0E01">
        <w:t xml:space="preserve"> l’article R. 632-2-7 du code de l'éducation dispose que le barème de valorisation des parcours étudiants en vue du passage en troisième cycle doit être adopté par un arrêté conjoint des ministres en charge de l’enseignement supérieur, de la santé et de la défense. Or, ainsi que le relève la décision, « </w:t>
      </w:r>
      <w:r w:rsidR="00FF4D82">
        <w:rPr>
          <w:i/>
          <w:iCs/>
        </w:rPr>
        <w:t>l’arrêté du 28 septembre 2023 n’a été signé que par la ministre de l’enseignement supérieur et le ministre de la santé et de la prévention</w:t>
      </w:r>
      <w:r w:rsidR="001533A0">
        <w:rPr>
          <w:i/>
          <w:iCs/>
        </w:rPr>
        <w:t xml:space="preserve"> (…) Par suite, les sociétés requérantes sont fondées à soutenir que les dispositions de cet arrêté qu’elles attaquent sont entachées d’incompétence</w:t>
      </w:r>
      <w:r w:rsidR="001533A0">
        <w:t> »</w:t>
      </w:r>
      <w:r w:rsidR="00660685">
        <w:t xml:space="preserve"> (§8)</w:t>
      </w:r>
      <w:r w:rsidR="001533A0">
        <w:t xml:space="preserve">. </w:t>
      </w:r>
    </w:p>
    <w:p w14:paraId="3F0944F9" w14:textId="7817CD8D" w:rsidR="007B161C" w:rsidRDefault="00113153" w:rsidP="00BE3E62">
      <w:pPr>
        <w:jc w:val="both"/>
      </w:pPr>
      <w:r>
        <w:t>Le fondement et la portée de l’annulation sont intéressants à deux égards. Sur le fondement d’une part, en principe, l</w:t>
      </w:r>
      <w:r w:rsidR="00DA7652">
        <w:t>’office du juge administratif est caractérisé par l’économie de moyen. Il ne prend donc pas la peine de répondre à l’ensemble des moyens lorsque l’un d’entre eux conduit à annuler l’acte administratif contesté. Toutefois, en l’espèce, le Conseil d'Etat a pris la peine de répondre, comme nous l’avons vu, au moyen tiré de la méconnaissance du principe d’égalité, pour l’écarte</w:t>
      </w:r>
      <w:r w:rsidR="00B24C6B">
        <w:t>r</w:t>
      </w:r>
      <w:r w:rsidR="00DA7652">
        <w:t xml:space="preserve">, avant d’étudier et de retenir le moyen d’incompétence soulevé par les requérantes. </w:t>
      </w:r>
    </w:p>
    <w:p w14:paraId="3691DBCB" w14:textId="75197FE2" w:rsidR="00DA7652" w:rsidRDefault="00DA7652" w:rsidP="00BE3E62">
      <w:pPr>
        <w:jc w:val="both"/>
      </w:pPr>
      <w:r>
        <w:t xml:space="preserve">Cette motivation en deux temps s’explique par une nouveauté du contentieux administratif introduit par la décision de 2018 </w:t>
      </w:r>
      <w:r>
        <w:rPr>
          <w:i/>
          <w:iCs/>
        </w:rPr>
        <w:t>Sté Eden</w:t>
      </w:r>
      <w:r>
        <w:rPr>
          <w:rStyle w:val="Appelnotedebasdep"/>
          <w:i/>
          <w:iCs/>
        </w:rPr>
        <w:footnoteReference w:id="22"/>
      </w:r>
      <w:r>
        <w:t xml:space="preserve">. </w:t>
      </w:r>
      <w:r w:rsidR="006765A3">
        <w:t>Dans cette décision, le Conseil d'Etat a jugé que : « </w:t>
      </w:r>
      <w:r w:rsidR="009C2B02" w:rsidRPr="009C2B02">
        <w:rPr>
          <w:i/>
          <w:iCs/>
        </w:rPr>
        <w:t>lorsque le requérant choisit de hiérarchiser, avant l'expiration du délai de recours, les prétentions qu'il soumet au juge de l'excès de pouvoir en fonction de la cause juridique sur laquelle reposent, à titre principal, ses conclusions à fin d'annulation, il incombe au juge de l'excès de pouvoir de statuer en respectant cette hiérarchisation, c'est-à-dire en examinant prioritairement les moyens qui se rattachent à la cause juridique correspondant à la demande principale du requérant</w:t>
      </w:r>
      <w:r w:rsidR="009C2B02">
        <w:t> »</w:t>
      </w:r>
      <w:r w:rsidR="009C2B02" w:rsidRPr="009C2B02">
        <w:t>.</w:t>
      </w:r>
      <w:r w:rsidR="009C2B02">
        <w:t xml:space="preserve"> L’on comprend aisément qu’en l’espèce, l’objectif des sociétés requérantes était de voir définitivement annulées les dispositions instaurant la différence de </w:t>
      </w:r>
      <w:r w:rsidR="009C2B02">
        <w:lastRenderedPageBreak/>
        <w:t>traitement susmentionnée entre tutorat et enseignement dans les préparations privées. C’est la raison pour laquelle les juges se sont d’abord prononcés sur ce moyen puis, l’estimant infondé, ont répondu sur le terrain de l’incompétence. Ce terrain conduit, certes, à l’annulation demandé</w:t>
      </w:r>
      <w:r w:rsidR="00C735C0">
        <w:t>e</w:t>
      </w:r>
      <w:r w:rsidR="009C2B02">
        <w:t xml:space="preserve">, mais ne fait pas obstacle à ce que les ministres intéressés reprennent les mêmes dispositions au terme </w:t>
      </w:r>
      <w:r w:rsidR="00682C17">
        <w:t>procédure régulière, c'est-à-dire, en adoptant un arrêté signé des trois ministres compétents</w:t>
      </w:r>
      <w:r w:rsidR="00C735C0">
        <w:rPr>
          <w:rStyle w:val="Appelnotedebasdep"/>
        </w:rPr>
        <w:footnoteReference w:id="23"/>
      </w:r>
      <w:r w:rsidR="00682C17">
        <w:t xml:space="preserve">. </w:t>
      </w:r>
    </w:p>
    <w:p w14:paraId="7DE20CB3" w14:textId="21993BFB" w:rsidR="00682C17" w:rsidRPr="00D00EB6" w:rsidRDefault="00682C17" w:rsidP="00BE3E62">
      <w:pPr>
        <w:jc w:val="both"/>
      </w:pPr>
      <w:r>
        <w:t xml:space="preserve">D'autre part, l’intérêt à agir </w:t>
      </w:r>
      <w:r w:rsidR="00D00EB6">
        <w:t>que le Conseil d'Etat a reconnu aux requérantes était limité à l’ajout des mots « </w:t>
      </w:r>
      <w:r w:rsidR="00D00EB6">
        <w:rPr>
          <w:i/>
          <w:iCs/>
        </w:rPr>
        <w:t>hors champ de la formation en santé</w:t>
      </w:r>
      <w:r w:rsidR="00D00EB6">
        <w:t> » de l’arrêté du 28 septembre 2023. Par suite, alors même que l’ensemble de l’arrêté dont l’annulation était demandé</w:t>
      </w:r>
      <w:r w:rsidR="001269E9">
        <w:t>e</w:t>
      </w:r>
      <w:r w:rsidR="00D00EB6">
        <w:t xml:space="preserve"> est entaché du même vice d’incompétence, seules ces dispositions seront annulées, les conclusions dirigées contre le reste de l’arrêté litigieux étant irrecevables pour défaut d’intérêt à agir. </w:t>
      </w:r>
      <w:r w:rsidR="000D27A8">
        <w:t xml:space="preserve">Par ailleurs, cette annulation partielle a été différée dans le temps. </w:t>
      </w:r>
    </w:p>
    <w:p w14:paraId="57526CDE" w14:textId="20B7CACF" w:rsidR="00626675" w:rsidRDefault="00626675" w:rsidP="00626675">
      <w:pPr>
        <w:pStyle w:val="Paragraphedeliste"/>
        <w:numPr>
          <w:ilvl w:val="0"/>
          <w:numId w:val="3"/>
        </w:numPr>
        <w:jc w:val="both"/>
      </w:pPr>
      <w:r>
        <w:t>Une annulation différée pour la sauvegarde de l’intérêt général</w:t>
      </w:r>
    </w:p>
    <w:p w14:paraId="7B428707" w14:textId="093D38AA" w:rsidR="000D27A8" w:rsidRDefault="000D27A8" w:rsidP="000D27A8">
      <w:pPr>
        <w:jc w:val="both"/>
      </w:pPr>
      <w:r>
        <w:t>En principe, l’annulation contentieuse d’un acte administratif a une portée rétroactive et l’acte est réputé n’avoir jamais existé</w:t>
      </w:r>
      <w:r>
        <w:rPr>
          <w:rStyle w:val="Appelnotedebasdep"/>
        </w:rPr>
        <w:footnoteReference w:id="24"/>
      </w:r>
      <w:r w:rsidR="000826CE">
        <w:t xml:space="preserve">. </w:t>
      </w:r>
    </w:p>
    <w:p w14:paraId="5C255653" w14:textId="09FB176A" w:rsidR="000826CE" w:rsidRDefault="000826CE" w:rsidP="000D27A8">
      <w:pPr>
        <w:jc w:val="both"/>
      </w:pPr>
      <w:r>
        <w:t>Cependant, en 2004, le Conseil d'Etat a jugé que le juge administratif pouvait différer dans le temps les effets de son annulation contentieuse</w:t>
      </w:r>
      <w:r>
        <w:rPr>
          <w:rStyle w:val="Appelnotedebasdep"/>
        </w:rPr>
        <w:footnoteReference w:id="25"/>
      </w:r>
      <w:r>
        <w:t>. Comme le rappelle la décision</w:t>
      </w:r>
      <w:r w:rsidR="0076286A">
        <w:t xml:space="preserve"> commentée, </w:t>
      </w:r>
      <w:r w:rsidR="00CC6E2A">
        <w:t>« </w:t>
      </w:r>
      <w:r w:rsidR="00CC6E2A" w:rsidRPr="00CC6E2A">
        <w:rPr>
          <w:i/>
          <w:iCs/>
        </w:rPr>
        <w:t>s'il apparaît que cet effet rétroactif de l'annulation est de nature à emporter des conséquences manifestement excessives en raison tant des effets que cet acte a produits et des situations qui ont pu se constituer lorsqu'il était en vigueur que de l'intérêt général pouvant s'attacher à un maintien temporaire de ses effets, il appartient au juge administratif - après avoir recueilli sur ce point les observations des parties et examiné l'ensemble des moyens, d'ordre public ou invoqués devant lui, pouvant affecter la légalité de l'acte en cause - de prendre en considération, d'une part, les conséquences de la rétroactivité de l'annulation pour les divers intérêts publics ou privés en présence et, d'autre part, les inconvénients que présenterait, au regard du principe de légalité et du droit des justiciables à un recours effectif, une limitation dans le temps des effets de l'annulation. Il lui revient d'apprécier, en rapprochant ces éléments, s'ils peuvent justifier qu'il soit dérogé à titre exceptionnel au principe de</w:t>
      </w:r>
      <w:r w:rsidR="00CC6E2A">
        <w:rPr>
          <w:i/>
          <w:iCs/>
        </w:rPr>
        <w:t xml:space="preserve"> l’effet rétroactif des annulations contentieuses</w:t>
      </w:r>
      <w:r w:rsidR="00CC6E2A">
        <w:t> »</w:t>
      </w:r>
      <w:r w:rsidR="00C6186E">
        <w:t xml:space="preserve"> (§10)</w:t>
      </w:r>
      <w:r w:rsidR="00CC6E2A">
        <w:t xml:space="preserve">. </w:t>
      </w:r>
    </w:p>
    <w:p w14:paraId="72E082D3" w14:textId="368C4363" w:rsidR="00CC6E2A" w:rsidRPr="00CB3708" w:rsidRDefault="00CC6E2A" w:rsidP="000D27A8">
      <w:pPr>
        <w:jc w:val="both"/>
      </w:pPr>
      <w:r>
        <w:t>En l’espèce, le Conseil d'Etat estime que</w:t>
      </w:r>
      <w:r w:rsidR="00C91BBE">
        <w:t xml:space="preserve"> l’annulation prononcée sera trop proche de la procédure d’appariement des étudiants en troisième cycle qui devait se dérouler « </w:t>
      </w:r>
      <w:r w:rsidR="00CB3708">
        <w:rPr>
          <w:i/>
          <w:iCs/>
        </w:rPr>
        <w:t>entre la deuxième quinzaine du mois d’août et la première quinzaine du mois de septembre 2024</w:t>
      </w:r>
      <w:r w:rsidR="00CB3708">
        <w:t xml:space="preserve"> » alors que la décision a été lue le 24 juillet 2024. </w:t>
      </w:r>
      <w:r w:rsidR="008E6DE6">
        <w:t xml:space="preserve">A la date de cette décision, les décisions de passage en troisième cycle étaient donc déjà </w:t>
      </w:r>
      <w:r w:rsidR="00C5003E">
        <w:t xml:space="preserve">prises. On peut également supposer qu’au regard du nombre d’étudiants concernés, une remise en cause des critères de valorisation de leurs dossiers </w:t>
      </w:r>
      <w:r w:rsidR="00C6186E">
        <w:t>aurait profondément bouleversé le fonctionnement du service – en particulier à une période de vacances universitaires. Par suite, le Conseil d'Etat juge que « </w:t>
      </w:r>
      <w:r w:rsidR="00C6186E">
        <w:rPr>
          <w:i/>
          <w:iCs/>
        </w:rPr>
        <w:t>compte tenu de la nécessité d’assurer le bon fonctionnement du service public de l’enseignement supérieur et du service public hospitalier, il y a lieu de différer l’annulation prononcée jusqu’au 1</w:t>
      </w:r>
      <w:r w:rsidR="00C6186E" w:rsidRPr="00C6186E">
        <w:rPr>
          <w:i/>
          <w:iCs/>
          <w:vertAlign w:val="superscript"/>
        </w:rPr>
        <w:t>er</w:t>
      </w:r>
      <w:r w:rsidR="00C6186E">
        <w:rPr>
          <w:i/>
          <w:iCs/>
        </w:rPr>
        <w:t xml:space="preserve"> novembre 2024</w:t>
      </w:r>
      <w:r w:rsidR="00C6186E">
        <w:t xml:space="preserve"> » (§11). </w:t>
      </w:r>
      <w:r w:rsidR="007734D7">
        <w:t xml:space="preserve"> </w:t>
      </w:r>
    </w:p>
    <w:sectPr w:rsidR="00CC6E2A" w:rsidRPr="00CB3708" w:rsidSect="00E9110E">
      <w:head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ément cherici" w:date="2026-10-04T21:44:00Z" w:initials="cc">
    <w:p w14:paraId="77D66E0D" w14:textId="77777777" w:rsidR="00D21DC9" w:rsidRDefault="00D21DC9">
      <w:pPr>
        <w:pStyle w:val="Commentaire"/>
      </w:pPr>
      <w:r>
        <w:rPr>
          <w:rStyle w:val="Marquedecommentaire"/>
        </w:rPr>
        <w:annotationRef/>
      </w:r>
      <w:r>
        <w:t xml:space="preserve">A des fins pédagogiques, le corrigé cite </w:t>
      </w:r>
      <w:r>
        <w:rPr>
          <w:i/>
          <w:iCs/>
        </w:rPr>
        <w:t>in extenso</w:t>
      </w:r>
      <w:r>
        <w:t xml:space="preserve"> certains paragraphes de principe en plus de leur application, pour que vous puissiez mieux les repérer. </w:t>
      </w:r>
    </w:p>
    <w:p w14:paraId="21B1EB89" w14:textId="77777777" w:rsidR="00D21DC9" w:rsidRDefault="00D21DC9">
      <w:pPr>
        <w:pStyle w:val="Commentaire"/>
      </w:pPr>
    </w:p>
    <w:p w14:paraId="609FD6D3" w14:textId="68C18ED5" w:rsidR="00D21DC9" w:rsidRPr="00D21DC9" w:rsidRDefault="00D21DC9">
      <w:pPr>
        <w:pStyle w:val="Commentaire"/>
      </w:pPr>
      <w:r>
        <w:t xml:space="preserve">V° également en IIB pour la décision </w:t>
      </w:r>
      <w:r w:rsidRPr="00D21DC9">
        <w:rPr>
          <w:i/>
          <w:iCs/>
        </w:rPr>
        <w:t>AC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9FD6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2AB249" w16cex:dateUtc="2026-10-04T19: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9FD6D3" w16cid:durableId="402AB2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A9BD" w14:textId="77777777" w:rsidR="00CF4C87" w:rsidRDefault="00CF4C87" w:rsidP="00E9110E">
      <w:pPr>
        <w:spacing w:after="0" w:line="240" w:lineRule="auto"/>
      </w:pPr>
      <w:r>
        <w:separator/>
      </w:r>
    </w:p>
  </w:endnote>
  <w:endnote w:type="continuationSeparator" w:id="0">
    <w:p w14:paraId="43C3CB3B" w14:textId="77777777" w:rsidR="00CF4C87" w:rsidRDefault="00CF4C87" w:rsidP="00E91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0E2A1" w14:textId="77777777" w:rsidR="00CF4C87" w:rsidRDefault="00CF4C87" w:rsidP="00E9110E">
      <w:pPr>
        <w:spacing w:after="0" w:line="240" w:lineRule="auto"/>
      </w:pPr>
      <w:r>
        <w:separator/>
      </w:r>
    </w:p>
  </w:footnote>
  <w:footnote w:type="continuationSeparator" w:id="0">
    <w:p w14:paraId="421550F9" w14:textId="77777777" w:rsidR="00CF4C87" w:rsidRDefault="00CF4C87" w:rsidP="00E9110E">
      <w:pPr>
        <w:spacing w:after="0" w:line="240" w:lineRule="auto"/>
      </w:pPr>
      <w:r>
        <w:continuationSeparator/>
      </w:r>
    </w:p>
  </w:footnote>
  <w:footnote w:id="1">
    <w:p w14:paraId="7A028E21" w14:textId="09F68189" w:rsidR="001B41CA" w:rsidRDefault="001B41CA">
      <w:pPr>
        <w:pStyle w:val="Notedebasdepage"/>
      </w:pPr>
      <w:r>
        <w:rPr>
          <w:rStyle w:val="Appelnotedebasdep"/>
        </w:rPr>
        <w:footnoteRef/>
      </w:r>
      <w:r>
        <w:t xml:space="preserve"> </w:t>
      </w:r>
      <w:r>
        <w:fldChar w:fldCharType="begin"/>
      </w:r>
      <w:r>
        <w:instrText xml:space="preserve"> ADDIN ZOTERO_ITEM CSL_CITATION {"citationID":"HLY354O3","properties":{"formattedCitation":"Catherine {\\scaps Moisan}, \\uc0\\u171{}\\uc0\\u160{}Les officines priv\\uc0\\u233{}es \\uc0\\u224{} l\\uc0\\u8217{}entr\\uc0\\u233{}e dans l\\uc0\\u8217{}enseignement sup\\uc0\\u233{}rieur\\uc0\\u160{}\\uc0\\u187{}, {\\i{}Administration &amp; \\uc0\\u201{}ducation}, vol.\\uc0\\u160{}4, n\\super o\\nosupersub{}\\uc0\\u160{}180, 2023, p.\\uc0\\u160{}85.","plainCitation":"Catherine Moisan, « Les officines privées à l’entrée dans l’enseignement supérieur », Administration &amp; Éducation, vol. 4, no 180, 2023, p. 85.","noteIndex":1},"citationItems":[{"id":198,"uris":["http://zotero.org/users/11887419/items/X5LV8SJB"],"itemData":{"id":198,"type":"article-journal","container-title":"Administration &amp; Éducation","issue":"180","journalAbbreviation":"A&amp;E","page":"85","title":"Les officines privées à l'entrée dans l'enseignement supérieur","volume":"4","author":[{"family":"Moisan","given":"Catherine"}],"issued":{"date-parts":[["2023"]]}}}],"schema":"https://github.com/citation-style-language/schema/raw/master/csl-citation.json"} </w:instrText>
      </w:r>
      <w:r>
        <w:fldChar w:fldCharType="separate"/>
      </w:r>
      <w:r w:rsidRPr="001B41CA">
        <w:rPr>
          <w:rFonts w:cs="Times New Roman"/>
          <w:kern w:val="0"/>
          <w:szCs w:val="24"/>
        </w:rPr>
        <w:t xml:space="preserve">Catherine </w:t>
      </w:r>
      <w:r w:rsidRPr="001B41CA">
        <w:rPr>
          <w:rFonts w:cs="Times New Roman"/>
          <w:smallCaps/>
          <w:kern w:val="0"/>
          <w:szCs w:val="24"/>
        </w:rPr>
        <w:t>Moisan</w:t>
      </w:r>
      <w:r w:rsidRPr="001B41CA">
        <w:rPr>
          <w:rFonts w:cs="Times New Roman"/>
          <w:kern w:val="0"/>
          <w:szCs w:val="24"/>
        </w:rPr>
        <w:t xml:space="preserve">, « Les officines privées à l’entrée dans l’enseignement supérieur », </w:t>
      </w:r>
      <w:r w:rsidRPr="001B41CA">
        <w:rPr>
          <w:rFonts w:cs="Times New Roman"/>
          <w:i/>
          <w:iCs/>
          <w:kern w:val="0"/>
          <w:szCs w:val="24"/>
        </w:rPr>
        <w:t>Administration &amp; Éducation</w:t>
      </w:r>
      <w:r w:rsidRPr="001B41CA">
        <w:rPr>
          <w:rFonts w:cs="Times New Roman"/>
          <w:kern w:val="0"/>
          <w:szCs w:val="24"/>
        </w:rPr>
        <w:t>, vol. 4, n</w:t>
      </w:r>
      <w:r w:rsidRPr="001B41CA">
        <w:rPr>
          <w:rFonts w:cs="Times New Roman"/>
          <w:kern w:val="0"/>
          <w:szCs w:val="24"/>
          <w:vertAlign w:val="superscript"/>
        </w:rPr>
        <w:t>o</w:t>
      </w:r>
      <w:r w:rsidRPr="001B41CA">
        <w:rPr>
          <w:rFonts w:cs="Times New Roman"/>
          <w:kern w:val="0"/>
          <w:szCs w:val="24"/>
        </w:rPr>
        <w:t> 180, 2023, p. 85.</w:t>
      </w:r>
      <w:r>
        <w:fldChar w:fldCharType="end"/>
      </w:r>
    </w:p>
  </w:footnote>
  <w:footnote w:id="2">
    <w:p w14:paraId="2851D5B1" w14:textId="7310B964" w:rsidR="00C5058E" w:rsidRDefault="00C5058E">
      <w:pPr>
        <w:pStyle w:val="Notedebasdepage"/>
      </w:pPr>
      <w:r>
        <w:rPr>
          <w:rStyle w:val="Appelnotedebasdep"/>
        </w:rPr>
        <w:footnoteRef/>
      </w:r>
      <w:r>
        <w:t xml:space="preserve"> Parcours d’accès aux études de santé.</w:t>
      </w:r>
    </w:p>
  </w:footnote>
  <w:footnote w:id="3">
    <w:p w14:paraId="016D9D00" w14:textId="15FAD651" w:rsidR="009F56C4" w:rsidRDefault="009F56C4">
      <w:pPr>
        <w:pStyle w:val="Notedebasdepage"/>
      </w:pPr>
      <w:r>
        <w:rPr>
          <w:rStyle w:val="Appelnotedebasdep"/>
        </w:rPr>
        <w:footnoteRef/>
      </w:r>
      <w:r>
        <w:t xml:space="preserve"> Parcours accès spécifique santé et licence accès santé. </w:t>
      </w:r>
    </w:p>
  </w:footnote>
  <w:footnote w:id="4">
    <w:p w14:paraId="734322B8" w14:textId="718D43F6" w:rsidR="00626675" w:rsidRPr="00626675" w:rsidRDefault="00626675" w:rsidP="00626675">
      <w:pPr>
        <w:pStyle w:val="Notedebasdepage"/>
        <w:jc w:val="both"/>
      </w:pPr>
      <w:r>
        <w:rPr>
          <w:rStyle w:val="Appelnotedebasdep"/>
        </w:rPr>
        <w:footnoteRef/>
      </w:r>
      <w:r>
        <w:t xml:space="preserve"> A. </w:t>
      </w:r>
      <w:r>
        <w:rPr>
          <w:smallCaps/>
        </w:rPr>
        <w:t>Legrand</w:t>
      </w:r>
      <w:r>
        <w:t xml:space="preserve">, « La réforme du premier cycle de santé devant le Conseil d'Etat : Une annulation partielle pour incompétence mais validation sur le fond », </w:t>
      </w:r>
      <w:r>
        <w:rPr>
          <w:i/>
          <w:iCs/>
        </w:rPr>
        <w:t>AJDA</w:t>
      </w:r>
      <w:r>
        <w:t xml:space="preserve">, 2024, p. 574. V° CE, 2023, </w:t>
      </w:r>
      <w:r>
        <w:rPr>
          <w:i/>
          <w:iCs/>
        </w:rPr>
        <w:t>Association PASS LAS 21</w:t>
      </w:r>
      <w:r>
        <w:t>, n° 469379.</w:t>
      </w:r>
    </w:p>
  </w:footnote>
  <w:footnote w:id="5">
    <w:p w14:paraId="63D71483" w14:textId="1497EDC4" w:rsidR="009D5710" w:rsidRDefault="009D5710" w:rsidP="00325C75">
      <w:pPr>
        <w:pStyle w:val="Notedebasdepage"/>
        <w:jc w:val="both"/>
      </w:pPr>
      <w:r>
        <w:rPr>
          <w:rStyle w:val="Appelnotedebasdep"/>
        </w:rPr>
        <w:footnoteRef/>
      </w:r>
      <w:r>
        <w:t xml:space="preserve"> </w:t>
      </w:r>
      <w:r>
        <w:fldChar w:fldCharType="begin"/>
      </w:r>
      <w:r>
        <w:instrText xml:space="preserve"> ADDIN ZOTERO_ITEM CSL_CITATION {"citationID":"kReKX9pf","properties":{"formattedCitation":"Alexandre {\\scaps Ciaudo}, {\\i{}Droit du contentieux administratif}, Paris-La D\\uc0\\u233{}fense\\uc0\\u160{}: Lefebvre Dalloz, 2023 (Sirey universit\\uc0\\u233{}). 342.440 66.","plainCitation":"Alexandre Ciaudo, Droit du contentieux administratif, Paris-La Défense : Lefebvre Dalloz, 2023 (Sirey université). 342.440 66.","noteIndex":5},"citationItems":[{"id":367,"uris":["http://zotero.org/users/11887419/items/EF2ZQCBA"],"itemData":{"id":367,"type":"book","abstract":"Tout le régime général des obligations et l'étude complète du contrat et de la responsabilité civile, en un seul volume. La première partie est consacrée au régime général des obligations, c'est-à-dire aux règles communes à toutes les obligations, quelle que soit leur source (acte juridique, fait juridique, loi). La deuxième partie est consacrée aux actes juridiques et plus particulièrement au contrat dont elle décrit la formation et les effets. La troisième partie traite des faits juridiques, c'est-à-dire des quasi-contrats et de la responsabilité civile, qu'il s'agisse des principes généraux de la responsabilité civile, du droit commun de la responsabilité délictuelle et contractuelle, ainsi que des principaux régimes spéciaux de responsabilité et d'indemnisation (responsabilité du fait des produits défectueux, loi de 1985 sur l'indemnisation des victimes d'accidents de la circulation, principaux systèmes d'indemnisation...)","call-number":"342.440 66","collection-title":"Sirey université","event-place":"Paris-La Défense","ISBN":"978-2-247-16828-6","language":"fre","publisher":"Lefebvre Dalloz","publisher-place":"Paris-La Défense","source":"BnF ISBN","title":"Droit du contentieux administratif","author":[{"family":"Ciaudo","given":"Alexandre"}],"issued":{"date-parts":[["2023"]]}}}],"schema":"https://github.com/citation-style-language/schema/raw/master/csl-citation.json"} </w:instrText>
      </w:r>
      <w:r>
        <w:fldChar w:fldCharType="separate"/>
      </w:r>
      <w:r w:rsidRPr="009D5710">
        <w:rPr>
          <w:rFonts w:cs="Times New Roman"/>
          <w:kern w:val="0"/>
          <w:szCs w:val="24"/>
        </w:rPr>
        <w:t xml:space="preserve">Alexandre </w:t>
      </w:r>
      <w:r w:rsidRPr="009D5710">
        <w:rPr>
          <w:rFonts w:cs="Times New Roman"/>
          <w:smallCaps/>
          <w:kern w:val="0"/>
          <w:szCs w:val="24"/>
        </w:rPr>
        <w:t>Ciaudo</w:t>
      </w:r>
      <w:r w:rsidRPr="009D5710">
        <w:rPr>
          <w:rFonts w:cs="Times New Roman"/>
          <w:kern w:val="0"/>
          <w:szCs w:val="24"/>
        </w:rPr>
        <w:t xml:space="preserve">, </w:t>
      </w:r>
      <w:r w:rsidRPr="009D5710">
        <w:rPr>
          <w:rFonts w:cs="Times New Roman"/>
          <w:i/>
          <w:iCs/>
          <w:kern w:val="0"/>
          <w:szCs w:val="24"/>
        </w:rPr>
        <w:t>Droit du contentieux administratif</w:t>
      </w:r>
      <w:r w:rsidRPr="009D5710">
        <w:rPr>
          <w:rFonts w:cs="Times New Roman"/>
          <w:kern w:val="0"/>
          <w:szCs w:val="24"/>
        </w:rPr>
        <w:t>, Paris-La Défense : Lefebvre Dalloz, 2023 (Sirey université)</w:t>
      </w:r>
      <w:r w:rsidR="00325C75">
        <w:rPr>
          <w:rFonts w:cs="Times New Roman"/>
          <w:kern w:val="0"/>
          <w:szCs w:val="24"/>
        </w:rPr>
        <w:t xml:space="preserve">, p. 206. </w:t>
      </w:r>
      <w:r>
        <w:fldChar w:fldCharType="end"/>
      </w:r>
    </w:p>
  </w:footnote>
  <w:footnote w:id="6">
    <w:p w14:paraId="110583C4" w14:textId="3F7B63E7" w:rsidR="00345C7E" w:rsidRPr="00D56AD8" w:rsidRDefault="00345C7E">
      <w:pPr>
        <w:pStyle w:val="Notedebasdepage"/>
      </w:pPr>
      <w:r>
        <w:rPr>
          <w:rStyle w:val="Appelnotedebasdep"/>
        </w:rPr>
        <w:footnoteRef/>
      </w:r>
      <w:r>
        <w:t xml:space="preserve"> CE, 1998</w:t>
      </w:r>
      <w:r w:rsidR="00D56AD8">
        <w:t xml:space="preserve">, </w:t>
      </w:r>
      <w:r w:rsidR="00D56AD8">
        <w:rPr>
          <w:i/>
          <w:iCs/>
        </w:rPr>
        <w:t>Sté NRJ</w:t>
      </w:r>
      <w:r w:rsidR="00D56AD8">
        <w:t xml:space="preserve">, n° 172333. </w:t>
      </w:r>
    </w:p>
  </w:footnote>
  <w:footnote w:id="7">
    <w:p w14:paraId="3944C0A2" w14:textId="28DC2C8A" w:rsidR="005810E0" w:rsidRPr="005810E0" w:rsidRDefault="005810E0">
      <w:pPr>
        <w:pStyle w:val="Notedebasdepage"/>
      </w:pPr>
      <w:r>
        <w:rPr>
          <w:rStyle w:val="Appelnotedebasdep"/>
        </w:rPr>
        <w:footnoteRef/>
      </w:r>
      <w:r>
        <w:t xml:space="preserve"> CE, 2003, n° </w:t>
      </w:r>
      <w:r w:rsidR="000C5662">
        <w:t xml:space="preserve">250575. </w:t>
      </w:r>
    </w:p>
  </w:footnote>
  <w:footnote w:id="8">
    <w:p w14:paraId="5FAFC4CC" w14:textId="67B869A5" w:rsidR="00CC36B9" w:rsidRDefault="00CC36B9">
      <w:pPr>
        <w:pStyle w:val="Notedebasdepage"/>
      </w:pPr>
      <w:r>
        <w:rPr>
          <w:rStyle w:val="Appelnotedebasdep"/>
        </w:rPr>
        <w:footnoteRef/>
      </w:r>
      <w:r>
        <w:t xml:space="preserve"> CE, 2009, n° 320112. </w:t>
      </w:r>
    </w:p>
  </w:footnote>
  <w:footnote w:id="9">
    <w:p w14:paraId="775B6531" w14:textId="4BBDBA66" w:rsidR="00C37860" w:rsidRPr="00C37860" w:rsidRDefault="00C37860">
      <w:pPr>
        <w:pStyle w:val="Notedebasdepage"/>
      </w:pPr>
      <w:r>
        <w:rPr>
          <w:rStyle w:val="Appelnotedebasdep"/>
        </w:rPr>
        <w:footnoteRef/>
      </w:r>
      <w:r>
        <w:t xml:space="preserve"> CE, 1971, </w:t>
      </w:r>
      <w:r>
        <w:rPr>
          <w:i/>
          <w:iCs/>
        </w:rPr>
        <w:t>Damasio</w:t>
      </w:r>
      <w:r>
        <w:t>.</w:t>
      </w:r>
    </w:p>
  </w:footnote>
  <w:footnote w:id="10">
    <w:p w14:paraId="62743A11" w14:textId="1764CBEA" w:rsidR="007B17A9" w:rsidRPr="007B17A9" w:rsidRDefault="007B17A9">
      <w:pPr>
        <w:pStyle w:val="Notedebasdepage"/>
      </w:pPr>
      <w:r>
        <w:rPr>
          <w:rStyle w:val="Appelnotedebasdep"/>
        </w:rPr>
        <w:footnoteRef/>
      </w:r>
      <w:r>
        <w:t xml:space="preserve"> J.-F. de </w:t>
      </w:r>
      <w:r>
        <w:rPr>
          <w:smallCaps/>
        </w:rPr>
        <w:t>Montgolfier</w:t>
      </w:r>
      <w:r>
        <w:t xml:space="preserve">, conclusions sur CE, 2024, </w:t>
      </w:r>
      <w:r>
        <w:rPr>
          <w:i/>
          <w:iCs/>
        </w:rPr>
        <w:t>Formapriv et autres</w:t>
      </w:r>
      <w:r>
        <w:t xml:space="preserve">, [en ligne]. </w:t>
      </w:r>
    </w:p>
  </w:footnote>
  <w:footnote w:id="11">
    <w:p w14:paraId="50E58C3B" w14:textId="2DE2458C" w:rsidR="00DC0BBB" w:rsidRPr="00DC0BBB" w:rsidRDefault="00DC0BBB">
      <w:pPr>
        <w:pStyle w:val="Notedebasdepage"/>
      </w:pPr>
      <w:r>
        <w:rPr>
          <w:rStyle w:val="Appelnotedebasdep"/>
        </w:rPr>
        <w:footnoteRef/>
      </w:r>
      <w:r>
        <w:t xml:space="preserve"> CE, 1959, </w:t>
      </w:r>
      <w:r>
        <w:rPr>
          <w:i/>
          <w:iCs/>
        </w:rPr>
        <w:t>Synd. des ingénieurs-conseils</w:t>
      </w:r>
      <w:r>
        <w:t xml:space="preserve">. </w:t>
      </w:r>
    </w:p>
  </w:footnote>
  <w:footnote w:id="12">
    <w:p w14:paraId="761C311D" w14:textId="292E57BC" w:rsidR="00577330" w:rsidRPr="00577330" w:rsidRDefault="00577330">
      <w:pPr>
        <w:pStyle w:val="Notedebasdepage"/>
      </w:pPr>
      <w:r>
        <w:rPr>
          <w:rStyle w:val="Appelnotedebasdep"/>
        </w:rPr>
        <w:footnoteRef/>
      </w:r>
      <w:r>
        <w:t xml:space="preserve"> CE, sect., 1951, </w:t>
      </w:r>
      <w:r>
        <w:rPr>
          <w:i/>
          <w:iCs/>
        </w:rPr>
        <w:t>Sté des concerts du conservatoire</w:t>
      </w:r>
      <w:r>
        <w:t xml:space="preserve">, ccl. Pdt. Letourneur. </w:t>
      </w:r>
    </w:p>
  </w:footnote>
  <w:footnote w:id="13">
    <w:p w14:paraId="07896E63" w14:textId="2B68AAC1" w:rsidR="00F726FD" w:rsidRPr="007953AF" w:rsidRDefault="00F726FD">
      <w:pPr>
        <w:pStyle w:val="Notedebasdepage"/>
      </w:pPr>
      <w:r>
        <w:rPr>
          <w:rStyle w:val="Appelnotedebasdep"/>
        </w:rPr>
        <w:footnoteRef/>
      </w:r>
      <w:r>
        <w:t xml:space="preserve"> CE, </w:t>
      </w:r>
      <w:r w:rsidR="007953AF">
        <w:t xml:space="preserve">sect., 1962, </w:t>
      </w:r>
      <w:r w:rsidR="007953AF">
        <w:rPr>
          <w:i/>
          <w:iCs/>
        </w:rPr>
        <w:t>Jourde et Maleville</w:t>
      </w:r>
      <w:r w:rsidR="007953AF">
        <w:t xml:space="preserve">, ccl. Braibant. </w:t>
      </w:r>
    </w:p>
  </w:footnote>
  <w:footnote w:id="14">
    <w:p w14:paraId="1E45F956" w14:textId="0577D4B2" w:rsidR="0044560F" w:rsidRPr="0044560F" w:rsidRDefault="0044560F">
      <w:pPr>
        <w:pStyle w:val="Notedebasdepage"/>
      </w:pPr>
      <w:r>
        <w:rPr>
          <w:rStyle w:val="Appelnotedebasdep"/>
        </w:rPr>
        <w:footnoteRef/>
      </w:r>
      <w:r>
        <w:t xml:space="preserve"> CE, </w:t>
      </w:r>
      <w:r w:rsidR="001E786E">
        <w:t>Ass</w:t>
      </w:r>
      <w:r>
        <w:t>., 201</w:t>
      </w:r>
      <w:r w:rsidR="001E786E">
        <w:t>2</w:t>
      </w:r>
      <w:r>
        <w:t xml:space="preserve">, </w:t>
      </w:r>
      <w:r>
        <w:rPr>
          <w:i/>
          <w:iCs/>
        </w:rPr>
        <w:t xml:space="preserve">Assoc. </w:t>
      </w:r>
      <w:r w:rsidR="001E786E">
        <w:rPr>
          <w:i/>
          <w:iCs/>
        </w:rPr>
        <w:t>GISTI et FAPIL</w:t>
      </w:r>
      <w:r>
        <w:t xml:space="preserve">. </w:t>
      </w:r>
    </w:p>
  </w:footnote>
  <w:footnote w:id="15">
    <w:p w14:paraId="73BFD206" w14:textId="357C0A95" w:rsidR="00C82869" w:rsidRDefault="00C82869">
      <w:pPr>
        <w:pStyle w:val="Notedebasdepage"/>
      </w:pPr>
      <w:r>
        <w:rPr>
          <w:rStyle w:val="Appelnotedebasdep"/>
        </w:rPr>
        <w:footnoteRef/>
      </w:r>
      <w:r>
        <w:t xml:space="preserve"> CE, </w:t>
      </w:r>
      <w:r w:rsidR="007C4374">
        <w:t xml:space="preserve">1975, n° 94196. </w:t>
      </w:r>
    </w:p>
  </w:footnote>
  <w:footnote w:id="16">
    <w:p w14:paraId="4AAC6555" w14:textId="750F8655" w:rsidR="00D82E83" w:rsidRDefault="00D82E83">
      <w:pPr>
        <w:pStyle w:val="Notedebasdepage"/>
      </w:pPr>
      <w:r>
        <w:rPr>
          <w:rStyle w:val="Appelnotedebasdep"/>
        </w:rPr>
        <w:footnoteRef/>
      </w:r>
      <w:r>
        <w:t xml:space="preserve"> CE, 1975, n° 96483. </w:t>
      </w:r>
    </w:p>
  </w:footnote>
  <w:footnote w:id="17">
    <w:p w14:paraId="4472AB8E" w14:textId="7FCEC6A1" w:rsidR="002B3C37" w:rsidRDefault="002B3C37" w:rsidP="004E6772">
      <w:pPr>
        <w:pStyle w:val="Notedebasdepage"/>
        <w:jc w:val="both"/>
      </w:pPr>
      <w:r>
        <w:rPr>
          <w:rStyle w:val="Appelnotedebasdep"/>
        </w:rPr>
        <w:footnoteRef/>
      </w:r>
      <w:r>
        <w:t xml:space="preserve"> </w:t>
      </w:r>
      <w:r w:rsidR="004E6772" w:rsidRPr="004E6772">
        <w:t xml:space="preserve">CE, 20 juin 2022, </w:t>
      </w:r>
      <w:r w:rsidR="004E6772" w:rsidRPr="004E6772">
        <w:rPr>
          <w:i/>
          <w:iCs/>
        </w:rPr>
        <w:t>Association pour l’égal accès aux emplois publics et la défense de la méritocratie</w:t>
      </w:r>
      <w:r w:rsidR="004E6772" w:rsidRPr="004E6772">
        <w:t>, n°s 452852, 452060</w:t>
      </w:r>
      <w:r w:rsidR="004E6772">
        <w:t xml:space="preserve">. </w:t>
      </w:r>
    </w:p>
  </w:footnote>
  <w:footnote w:id="18">
    <w:p w14:paraId="5C0052C0" w14:textId="3DB9CA96" w:rsidR="00E94DE8" w:rsidRPr="00E94DE8" w:rsidRDefault="00E94DE8">
      <w:pPr>
        <w:pStyle w:val="Notedebasdepage"/>
        <w:rPr>
          <w:iCs/>
        </w:rPr>
      </w:pPr>
      <w:r>
        <w:rPr>
          <w:rStyle w:val="Appelnotedebasdep"/>
        </w:rPr>
        <w:footnoteRef/>
      </w:r>
      <w:r>
        <w:t xml:space="preserve"> J.-F. de </w:t>
      </w:r>
      <w:r>
        <w:rPr>
          <w:smallCaps/>
        </w:rPr>
        <w:t>Montpgolfier</w:t>
      </w:r>
      <w:r>
        <w:rPr>
          <w:i/>
          <w:smallCaps/>
        </w:rPr>
        <w:t xml:space="preserve">, </w:t>
      </w:r>
      <w:r>
        <w:rPr>
          <w:i/>
        </w:rPr>
        <w:t xml:space="preserve">précité. </w:t>
      </w:r>
    </w:p>
  </w:footnote>
  <w:footnote w:id="19">
    <w:p w14:paraId="16526DE4" w14:textId="656F4433" w:rsidR="004A6350" w:rsidRPr="004A6350" w:rsidRDefault="004A6350">
      <w:pPr>
        <w:pStyle w:val="Notedebasdepage"/>
      </w:pPr>
      <w:r>
        <w:rPr>
          <w:rStyle w:val="Appelnotedebasdep"/>
        </w:rPr>
        <w:footnoteRef/>
      </w:r>
      <w:r>
        <w:t xml:space="preserve"> CE, 1919, </w:t>
      </w:r>
      <w:r>
        <w:rPr>
          <w:i/>
          <w:iCs/>
        </w:rPr>
        <w:t>Labonne</w:t>
      </w:r>
      <w:r>
        <w:t xml:space="preserve"> ; CC, 2000, </w:t>
      </w:r>
      <w:r>
        <w:rPr>
          <w:i/>
          <w:iCs/>
        </w:rPr>
        <w:t>Loi relative à la chasse</w:t>
      </w:r>
      <w:r>
        <w:t xml:space="preserve">. </w:t>
      </w:r>
    </w:p>
  </w:footnote>
  <w:footnote w:id="20">
    <w:p w14:paraId="71E74B4D" w14:textId="36568E97" w:rsidR="00590EC9" w:rsidRDefault="00590EC9">
      <w:pPr>
        <w:pStyle w:val="Notedebasdepage"/>
      </w:pPr>
      <w:r>
        <w:rPr>
          <w:rStyle w:val="Appelnotedebasdep"/>
        </w:rPr>
        <w:footnoteRef/>
      </w:r>
      <w:r>
        <w:t xml:space="preserve"> Article 21 de la Constitution. </w:t>
      </w:r>
    </w:p>
  </w:footnote>
  <w:footnote w:id="21">
    <w:p w14:paraId="171E7131" w14:textId="4168D467" w:rsidR="00E626DA" w:rsidRPr="00E626DA" w:rsidRDefault="00E626DA">
      <w:pPr>
        <w:pStyle w:val="Notedebasdepage"/>
      </w:pPr>
      <w:r>
        <w:rPr>
          <w:rStyle w:val="Appelnotedebasdep"/>
        </w:rPr>
        <w:footnoteRef/>
      </w:r>
      <w:r>
        <w:t xml:space="preserve"> CE, 1992, </w:t>
      </w:r>
      <w:r>
        <w:rPr>
          <w:i/>
          <w:iCs/>
        </w:rPr>
        <w:t>Fédération CFDT de la protection sociale, du travail et de l’emploi</w:t>
      </w:r>
      <w:r>
        <w:t xml:space="preserve">, n° </w:t>
      </w:r>
      <w:r w:rsidR="00600230">
        <w:t xml:space="preserve">63535. </w:t>
      </w:r>
    </w:p>
  </w:footnote>
  <w:footnote w:id="22">
    <w:p w14:paraId="7E7D7591" w14:textId="18198FB8" w:rsidR="00DA7652" w:rsidRPr="00DA7652" w:rsidRDefault="00DA7652">
      <w:pPr>
        <w:pStyle w:val="Notedebasdepage"/>
      </w:pPr>
      <w:r>
        <w:rPr>
          <w:rStyle w:val="Appelnotedebasdep"/>
        </w:rPr>
        <w:footnoteRef/>
      </w:r>
      <w:r>
        <w:t xml:space="preserve"> CE, sect., 2018, </w:t>
      </w:r>
      <w:r>
        <w:rPr>
          <w:i/>
          <w:iCs/>
        </w:rPr>
        <w:t>Sté Eden</w:t>
      </w:r>
      <w:r>
        <w:t xml:space="preserve">. </w:t>
      </w:r>
    </w:p>
  </w:footnote>
  <w:footnote w:id="23">
    <w:p w14:paraId="6E4BF011" w14:textId="5F15EC67" w:rsidR="00C735C0" w:rsidRDefault="00C735C0">
      <w:pPr>
        <w:pStyle w:val="Notedebasdepage"/>
      </w:pPr>
      <w:r>
        <w:rPr>
          <w:rStyle w:val="Appelnotedebasdep"/>
        </w:rPr>
        <w:footnoteRef/>
      </w:r>
      <w:r>
        <w:t xml:space="preserve"> C’est ce qui vient d’être fait par l’arrêté du 18 octobre 2024 publié au JORF du 25 octobre 2024. </w:t>
      </w:r>
    </w:p>
  </w:footnote>
  <w:footnote w:id="24">
    <w:p w14:paraId="43589492" w14:textId="52C9A60F" w:rsidR="000D27A8" w:rsidRPr="000D27A8" w:rsidRDefault="000D27A8">
      <w:pPr>
        <w:pStyle w:val="Notedebasdepage"/>
      </w:pPr>
      <w:r>
        <w:rPr>
          <w:rStyle w:val="Appelnotedebasdep"/>
        </w:rPr>
        <w:footnoteRef/>
      </w:r>
      <w:r>
        <w:t xml:space="preserve"> CE, 1925, </w:t>
      </w:r>
      <w:r>
        <w:rPr>
          <w:i/>
          <w:iCs/>
        </w:rPr>
        <w:t>Rodière</w:t>
      </w:r>
      <w:r>
        <w:t xml:space="preserve">. </w:t>
      </w:r>
    </w:p>
  </w:footnote>
  <w:footnote w:id="25">
    <w:p w14:paraId="393D9E7E" w14:textId="640E6203" w:rsidR="000826CE" w:rsidRPr="000826CE" w:rsidRDefault="000826CE">
      <w:pPr>
        <w:pStyle w:val="Notedebasdepage"/>
      </w:pPr>
      <w:r>
        <w:rPr>
          <w:rStyle w:val="Appelnotedebasdep"/>
        </w:rPr>
        <w:footnoteRef/>
      </w:r>
      <w:r>
        <w:t xml:space="preserve"> CE, Ass., 2004, </w:t>
      </w:r>
      <w:r>
        <w:rPr>
          <w:i/>
          <w:iCs/>
        </w:rPr>
        <w:t>Assoc. AC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7CB5" w14:textId="70748B2F" w:rsidR="00E9110E" w:rsidRDefault="00E9110E" w:rsidP="00E9110E">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8E08" w14:textId="7876604C" w:rsidR="00E9110E" w:rsidRDefault="00E9110E" w:rsidP="00E9110E">
    <w:pPr>
      <w:pStyle w:val="En-tte"/>
      <w:jc w:val="right"/>
      <w:rPr>
        <w:i/>
        <w:iCs/>
      </w:rPr>
    </w:pPr>
    <w:r>
      <w:rPr>
        <w:i/>
        <w:iCs/>
      </w:rPr>
      <w:t>Université Paris I Panthéon-Sorbonne</w:t>
    </w:r>
  </w:p>
  <w:p w14:paraId="2D2381F2" w14:textId="28E83032" w:rsidR="00E9110E" w:rsidRDefault="00E9110E" w:rsidP="00E9110E">
    <w:pPr>
      <w:pStyle w:val="En-tte"/>
      <w:jc w:val="right"/>
      <w:rPr>
        <w:i/>
        <w:iCs/>
      </w:rPr>
    </w:pPr>
    <w:r>
      <w:rPr>
        <w:i/>
        <w:iCs/>
      </w:rPr>
      <w:t>Année universitaire 2024-2025</w:t>
    </w:r>
  </w:p>
  <w:p w14:paraId="4B5398AE" w14:textId="1797C178" w:rsidR="00E9110E" w:rsidRPr="00E9110E" w:rsidRDefault="00E9110E" w:rsidP="00E9110E">
    <w:pPr>
      <w:pStyle w:val="En-tte"/>
      <w:jc w:val="right"/>
      <w:rPr>
        <w:i/>
        <w:iCs/>
      </w:rPr>
    </w:pPr>
    <w:r>
      <w:rPr>
        <w:i/>
        <w:iCs/>
      </w:rPr>
      <w:t>Semestre d’automne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B0E30"/>
    <w:multiLevelType w:val="hybridMultilevel"/>
    <w:tmpl w:val="DD20951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131567B"/>
    <w:multiLevelType w:val="hybridMultilevel"/>
    <w:tmpl w:val="0A08346C"/>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44512227"/>
    <w:multiLevelType w:val="hybridMultilevel"/>
    <w:tmpl w:val="D410F990"/>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16cid:durableId="564679118">
    <w:abstractNumId w:val="0"/>
  </w:num>
  <w:num w:numId="2" w16cid:durableId="677275358">
    <w:abstractNumId w:val="1"/>
  </w:num>
  <w:num w:numId="3" w16cid:durableId="152150558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ément cherici">
    <w15:presenceInfo w15:providerId="Windows Live" w15:userId="1be1a60097d349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669"/>
    <w:rsid w:val="00005365"/>
    <w:rsid w:val="0004305A"/>
    <w:rsid w:val="00071C90"/>
    <w:rsid w:val="000721A4"/>
    <w:rsid w:val="000826CE"/>
    <w:rsid w:val="000876E1"/>
    <w:rsid w:val="00093488"/>
    <w:rsid w:val="000A4CF5"/>
    <w:rsid w:val="000A625E"/>
    <w:rsid w:val="000B2392"/>
    <w:rsid w:val="000C5662"/>
    <w:rsid w:val="000D0295"/>
    <w:rsid w:val="000D27A8"/>
    <w:rsid w:val="00113153"/>
    <w:rsid w:val="001269E9"/>
    <w:rsid w:val="001533A0"/>
    <w:rsid w:val="001B08D3"/>
    <w:rsid w:val="001B41CA"/>
    <w:rsid w:val="001E786E"/>
    <w:rsid w:val="0024598D"/>
    <w:rsid w:val="0025110B"/>
    <w:rsid w:val="002575F6"/>
    <w:rsid w:val="00290A0D"/>
    <w:rsid w:val="002A1F03"/>
    <w:rsid w:val="002B3C37"/>
    <w:rsid w:val="00325C75"/>
    <w:rsid w:val="00345C7E"/>
    <w:rsid w:val="00396B3C"/>
    <w:rsid w:val="004030EB"/>
    <w:rsid w:val="00403F03"/>
    <w:rsid w:val="00421CA1"/>
    <w:rsid w:val="004247C3"/>
    <w:rsid w:val="00432280"/>
    <w:rsid w:val="0044560F"/>
    <w:rsid w:val="004510E7"/>
    <w:rsid w:val="00462294"/>
    <w:rsid w:val="00483897"/>
    <w:rsid w:val="00492240"/>
    <w:rsid w:val="004A6350"/>
    <w:rsid w:val="004B3D3C"/>
    <w:rsid w:val="004B7060"/>
    <w:rsid w:val="004E2EA6"/>
    <w:rsid w:val="004E6772"/>
    <w:rsid w:val="004F1146"/>
    <w:rsid w:val="004F61C2"/>
    <w:rsid w:val="00577330"/>
    <w:rsid w:val="005810E0"/>
    <w:rsid w:val="00590EC9"/>
    <w:rsid w:val="005F3C9E"/>
    <w:rsid w:val="00600230"/>
    <w:rsid w:val="00611E60"/>
    <w:rsid w:val="00626675"/>
    <w:rsid w:val="00637C02"/>
    <w:rsid w:val="00640CA6"/>
    <w:rsid w:val="006456F6"/>
    <w:rsid w:val="00660685"/>
    <w:rsid w:val="00665D6B"/>
    <w:rsid w:val="006765A3"/>
    <w:rsid w:val="00682C17"/>
    <w:rsid w:val="006841F8"/>
    <w:rsid w:val="00695609"/>
    <w:rsid w:val="006A0715"/>
    <w:rsid w:val="006E574B"/>
    <w:rsid w:val="00712580"/>
    <w:rsid w:val="00760E27"/>
    <w:rsid w:val="0076286A"/>
    <w:rsid w:val="007734D7"/>
    <w:rsid w:val="007953AF"/>
    <w:rsid w:val="007A6092"/>
    <w:rsid w:val="007B161C"/>
    <w:rsid w:val="007B17A9"/>
    <w:rsid w:val="007B4F86"/>
    <w:rsid w:val="007C4374"/>
    <w:rsid w:val="007D56C5"/>
    <w:rsid w:val="007E2DC9"/>
    <w:rsid w:val="00857C14"/>
    <w:rsid w:val="0086289A"/>
    <w:rsid w:val="0087649D"/>
    <w:rsid w:val="0088024E"/>
    <w:rsid w:val="00885D49"/>
    <w:rsid w:val="00886F0B"/>
    <w:rsid w:val="00892E5E"/>
    <w:rsid w:val="008B0E01"/>
    <w:rsid w:val="008B6211"/>
    <w:rsid w:val="008E5364"/>
    <w:rsid w:val="008E6DE6"/>
    <w:rsid w:val="00942394"/>
    <w:rsid w:val="009B1D11"/>
    <w:rsid w:val="009B3757"/>
    <w:rsid w:val="009B54D3"/>
    <w:rsid w:val="009C2B02"/>
    <w:rsid w:val="009D5710"/>
    <w:rsid w:val="009E40F5"/>
    <w:rsid w:val="009F56C4"/>
    <w:rsid w:val="00A1134F"/>
    <w:rsid w:val="00A61549"/>
    <w:rsid w:val="00AA14EF"/>
    <w:rsid w:val="00AB1BAA"/>
    <w:rsid w:val="00AB1CD2"/>
    <w:rsid w:val="00AB385A"/>
    <w:rsid w:val="00B24C6B"/>
    <w:rsid w:val="00B66669"/>
    <w:rsid w:val="00B72275"/>
    <w:rsid w:val="00B74F82"/>
    <w:rsid w:val="00B81614"/>
    <w:rsid w:val="00BB6A94"/>
    <w:rsid w:val="00BE3E62"/>
    <w:rsid w:val="00BE44AB"/>
    <w:rsid w:val="00BF2C89"/>
    <w:rsid w:val="00C0285D"/>
    <w:rsid w:val="00C11A68"/>
    <w:rsid w:val="00C37860"/>
    <w:rsid w:val="00C5003E"/>
    <w:rsid w:val="00C5058E"/>
    <w:rsid w:val="00C6186E"/>
    <w:rsid w:val="00C735C0"/>
    <w:rsid w:val="00C821FF"/>
    <w:rsid w:val="00C82869"/>
    <w:rsid w:val="00C91BBE"/>
    <w:rsid w:val="00CB3708"/>
    <w:rsid w:val="00CC36B9"/>
    <w:rsid w:val="00CC6E2A"/>
    <w:rsid w:val="00CF4C87"/>
    <w:rsid w:val="00D00EB6"/>
    <w:rsid w:val="00D21DC9"/>
    <w:rsid w:val="00D56AD8"/>
    <w:rsid w:val="00D64AC8"/>
    <w:rsid w:val="00D64F39"/>
    <w:rsid w:val="00D75D4A"/>
    <w:rsid w:val="00D82E83"/>
    <w:rsid w:val="00DA7652"/>
    <w:rsid w:val="00DB4C34"/>
    <w:rsid w:val="00DC0BBB"/>
    <w:rsid w:val="00DF12E0"/>
    <w:rsid w:val="00E176DB"/>
    <w:rsid w:val="00E17704"/>
    <w:rsid w:val="00E51D02"/>
    <w:rsid w:val="00E626DA"/>
    <w:rsid w:val="00E9110E"/>
    <w:rsid w:val="00E94DE8"/>
    <w:rsid w:val="00EF439C"/>
    <w:rsid w:val="00F36FBC"/>
    <w:rsid w:val="00F46209"/>
    <w:rsid w:val="00F54692"/>
    <w:rsid w:val="00F726FD"/>
    <w:rsid w:val="00FD34E2"/>
    <w:rsid w:val="00FD573A"/>
    <w:rsid w:val="00FF4D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5424D"/>
  <w15:chartTrackingRefBased/>
  <w15:docId w15:val="{2123C56A-2035-4F10-894F-DF8C96DF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9110E"/>
    <w:pPr>
      <w:tabs>
        <w:tab w:val="center" w:pos="4536"/>
        <w:tab w:val="right" w:pos="9072"/>
      </w:tabs>
      <w:spacing w:after="0" w:line="240" w:lineRule="auto"/>
    </w:pPr>
  </w:style>
  <w:style w:type="character" w:customStyle="1" w:styleId="En-tteCar">
    <w:name w:val="En-tête Car"/>
    <w:basedOn w:val="Policepardfaut"/>
    <w:link w:val="En-tte"/>
    <w:uiPriority w:val="99"/>
    <w:rsid w:val="00E9110E"/>
  </w:style>
  <w:style w:type="paragraph" w:styleId="Pieddepage">
    <w:name w:val="footer"/>
    <w:basedOn w:val="Normal"/>
    <w:link w:val="PieddepageCar"/>
    <w:uiPriority w:val="99"/>
    <w:unhideWhenUsed/>
    <w:rsid w:val="00E9110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9110E"/>
  </w:style>
  <w:style w:type="paragraph" w:styleId="Notedebasdepage">
    <w:name w:val="footnote text"/>
    <w:basedOn w:val="Normal"/>
    <w:link w:val="NotedebasdepageCar"/>
    <w:uiPriority w:val="99"/>
    <w:semiHidden/>
    <w:unhideWhenUsed/>
    <w:rsid w:val="001B41C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41CA"/>
    <w:rPr>
      <w:sz w:val="20"/>
      <w:szCs w:val="20"/>
    </w:rPr>
  </w:style>
  <w:style w:type="character" w:styleId="Appelnotedebasdep">
    <w:name w:val="footnote reference"/>
    <w:basedOn w:val="Policepardfaut"/>
    <w:uiPriority w:val="99"/>
    <w:semiHidden/>
    <w:unhideWhenUsed/>
    <w:rsid w:val="001B41CA"/>
    <w:rPr>
      <w:vertAlign w:val="superscript"/>
    </w:rPr>
  </w:style>
  <w:style w:type="paragraph" w:styleId="Paragraphedeliste">
    <w:name w:val="List Paragraph"/>
    <w:basedOn w:val="Normal"/>
    <w:uiPriority w:val="34"/>
    <w:qFormat/>
    <w:rsid w:val="00626675"/>
    <w:pPr>
      <w:ind w:left="720"/>
      <w:contextualSpacing/>
    </w:pPr>
  </w:style>
  <w:style w:type="paragraph" w:styleId="Bibliographie">
    <w:name w:val="Bibliography"/>
    <w:basedOn w:val="Normal"/>
    <w:next w:val="Normal"/>
    <w:uiPriority w:val="37"/>
    <w:semiHidden/>
    <w:unhideWhenUsed/>
    <w:rsid w:val="009D5710"/>
  </w:style>
  <w:style w:type="character" w:styleId="Marquedecommentaire">
    <w:name w:val="annotation reference"/>
    <w:basedOn w:val="Policepardfaut"/>
    <w:uiPriority w:val="99"/>
    <w:semiHidden/>
    <w:unhideWhenUsed/>
    <w:rsid w:val="00D21DC9"/>
    <w:rPr>
      <w:sz w:val="16"/>
      <w:szCs w:val="16"/>
    </w:rPr>
  </w:style>
  <w:style w:type="paragraph" w:styleId="Commentaire">
    <w:name w:val="annotation text"/>
    <w:basedOn w:val="Normal"/>
    <w:link w:val="CommentaireCar"/>
    <w:uiPriority w:val="99"/>
    <w:semiHidden/>
    <w:unhideWhenUsed/>
    <w:rsid w:val="00D21DC9"/>
    <w:pPr>
      <w:spacing w:line="240" w:lineRule="auto"/>
    </w:pPr>
    <w:rPr>
      <w:sz w:val="20"/>
      <w:szCs w:val="20"/>
    </w:rPr>
  </w:style>
  <w:style w:type="character" w:customStyle="1" w:styleId="CommentaireCar">
    <w:name w:val="Commentaire Car"/>
    <w:basedOn w:val="Policepardfaut"/>
    <w:link w:val="Commentaire"/>
    <w:uiPriority w:val="99"/>
    <w:semiHidden/>
    <w:rsid w:val="00D21DC9"/>
    <w:rPr>
      <w:sz w:val="20"/>
      <w:szCs w:val="20"/>
    </w:rPr>
  </w:style>
  <w:style w:type="paragraph" w:styleId="Objetducommentaire">
    <w:name w:val="annotation subject"/>
    <w:basedOn w:val="Commentaire"/>
    <w:next w:val="Commentaire"/>
    <w:link w:val="ObjetducommentaireCar"/>
    <w:uiPriority w:val="99"/>
    <w:semiHidden/>
    <w:unhideWhenUsed/>
    <w:rsid w:val="00D21DC9"/>
    <w:rPr>
      <w:b/>
      <w:bCs/>
    </w:rPr>
  </w:style>
  <w:style w:type="character" w:customStyle="1" w:styleId="ObjetducommentaireCar">
    <w:name w:val="Objet du commentaire Car"/>
    <w:basedOn w:val="CommentaireCar"/>
    <w:link w:val="Objetducommentaire"/>
    <w:uiPriority w:val="99"/>
    <w:semiHidden/>
    <w:rsid w:val="00D21D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444109">
      <w:bodyDiv w:val="1"/>
      <w:marLeft w:val="0"/>
      <w:marRight w:val="0"/>
      <w:marTop w:val="0"/>
      <w:marBottom w:val="0"/>
      <w:divBdr>
        <w:top w:val="none" w:sz="0" w:space="0" w:color="auto"/>
        <w:left w:val="none" w:sz="0" w:space="0" w:color="auto"/>
        <w:bottom w:val="none" w:sz="0" w:space="0" w:color="auto"/>
        <w:right w:val="none" w:sz="0" w:space="0" w:color="auto"/>
      </w:divBdr>
      <w:divsChild>
        <w:div w:id="2057267690">
          <w:marLeft w:val="0"/>
          <w:marRight w:val="0"/>
          <w:marTop w:val="0"/>
          <w:marBottom w:val="0"/>
          <w:divBdr>
            <w:top w:val="none" w:sz="0" w:space="0" w:color="auto"/>
            <w:left w:val="none" w:sz="0" w:space="0" w:color="auto"/>
            <w:bottom w:val="none" w:sz="0" w:space="0" w:color="auto"/>
            <w:right w:val="none" w:sz="0" w:space="0" w:color="auto"/>
          </w:divBdr>
        </w:div>
        <w:div w:id="1344429948">
          <w:marLeft w:val="0"/>
          <w:marRight w:val="0"/>
          <w:marTop w:val="0"/>
          <w:marBottom w:val="0"/>
          <w:divBdr>
            <w:top w:val="none" w:sz="0" w:space="0" w:color="auto"/>
            <w:left w:val="none" w:sz="0" w:space="0" w:color="auto"/>
            <w:bottom w:val="none" w:sz="0" w:space="0" w:color="auto"/>
            <w:right w:val="none" w:sz="0" w:space="0" w:color="auto"/>
          </w:divBdr>
        </w:div>
        <w:div w:id="799569512">
          <w:marLeft w:val="0"/>
          <w:marRight w:val="0"/>
          <w:marTop w:val="0"/>
          <w:marBottom w:val="0"/>
          <w:divBdr>
            <w:top w:val="none" w:sz="0" w:space="0" w:color="auto"/>
            <w:left w:val="none" w:sz="0" w:space="0" w:color="auto"/>
            <w:bottom w:val="none" w:sz="0" w:space="0" w:color="auto"/>
            <w:right w:val="none" w:sz="0" w:space="0" w:color="auto"/>
          </w:divBdr>
        </w:div>
        <w:div w:id="400296584">
          <w:marLeft w:val="0"/>
          <w:marRight w:val="0"/>
          <w:marTop w:val="0"/>
          <w:marBottom w:val="0"/>
          <w:divBdr>
            <w:top w:val="none" w:sz="0" w:space="0" w:color="auto"/>
            <w:left w:val="none" w:sz="0" w:space="0" w:color="auto"/>
            <w:bottom w:val="none" w:sz="0" w:space="0" w:color="auto"/>
            <w:right w:val="none" w:sz="0" w:space="0" w:color="auto"/>
          </w:divBdr>
        </w:div>
      </w:divsChild>
    </w:div>
    <w:div w:id="2053995552">
      <w:bodyDiv w:val="1"/>
      <w:marLeft w:val="0"/>
      <w:marRight w:val="0"/>
      <w:marTop w:val="0"/>
      <w:marBottom w:val="0"/>
      <w:divBdr>
        <w:top w:val="none" w:sz="0" w:space="0" w:color="auto"/>
        <w:left w:val="none" w:sz="0" w:space="0" w:color="auto"/>
        <w:bottom w:val="none" w:sz="0" w:space="0" w:color="auto"/>
        <w:right w:val="none" w:sz="0" w:space="0" w:color="auto"/>
      </w:divBdr>
      <w:divsChild>
        <w:div w:id="545533893">
          <w:marLeft w:val="0"/>
          <w:marRight w:val="0"/>
          <w:marTop w:val="0"/>
          <w:marBottom w:val="0"/>
          <w:divBdr>
            <w:top w:val="none" w:sz="0" w:space="0" w:color="auto"/>
            <w:left w:val="none" w:sz="0" w:space="0" w:color="auto"/>
            <w:bottom w:val="none" w:sz="0" w:space="0" w:color="auto"/>
            <w:right w:val="none" w:sz="0" w:space="0" w:color="auto"/>
          </w:divBdr>
        </w:div>
        <w:div w:id="735131990">
          <w:marLeft w:val="0"/>
          <w:marRight w:val="0"/>
          <w:marTop w:val="0"/>
          <w:marBottom w:val="0"/>
          <w:divBdr>
            <w:top w:val="none" w:sz="0" w:space="0" w:color="auto"/>
            <w:left w:val="none" w:sz="0" w:space="0" w:color="auto"/>
            <w:bottom w:val="none" w:sz="0" w:space="0" w:color="auto"/>
            <w:right w:val="none" w:sz="0" w:space="0" w:color="auto"/>
          </w:divBdr>
        </w:div>
        <w:div w:id="625506104">
          <w:marLeft w:val="0"/>
          <w:marRight w:val="0"/>
          <w:marTop w:val="0"/>
          <w:marBottom w:val="0"/>
          <w:divBdr>
            <w:top w:val="none" w:sz="0" w:space="0" w:color="auto"/>
            <w:left w:val="none" w:sz="0" w:space="0" w:color="auto"/>
            <w:bottom w:val="none" w:sz="0" w:space="0" w:color="auto"/>
            <w:right w:val="none" w:sz="0" w:space="0" w:color="auto"/>
          </w:divBdr>
        </w:div>
        <w:div w:id="1155224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1144</TotalTime>
  <Pages>6</Pages>
  <Words>2951</Words>
  <Characters>16231</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cherici</dc:creator>
  <cp:keywords/>
  <dc:description/>
  <cp:lastModifiedBy>clément cherici</cp:lastModifiedBy>
  <cp:revision>140</cp:revision>
  <dcterms:created xsi:type="dcterms:W3CDTF">2024-10-18T21:44:00Z</dcterms:created>
  <dcterms:modified xsi:type="dcterms:W3CDTF">2026-10-04T19:45:00Z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id="MaLK0Edo"/&gt;&lt;style id="http://www.zotero.org/styles/invisu" locale="fr-FR" hasBibliography="1" bibliographyStyleHasBeenSet="1"/&gt;&lt;prefs&gt;&lt;pref name="fieldType" value="Field"/&gt;&lt;pref name="noteType" v</vt:lpwstr>
  </property>
  <property fmtid="{D5CDD505-2E9C-101B-9397-08002B2CF9AE}" pid="3" name="ZOTERO_PREF_2">
    <vt:lpwstr>alue="1"/&gt;&lt;/prefs&gt;&lt;/data&gt;</vt:lpwstr>
  </property>
</Properties>
</file>